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45F55" w14:textId="16AE4127" w:rsidR="002A089A" w:rsidRPr="00396987" w:rsidRDefault="00A3372E" w:rsidP="0040071C">
      <w:pPr>
        <w:spacing w:after="0" w:line="480" w:lineRule="auto"/>
        <w:contextualSpacing/>
        <w:rPr>
          <w:rFonts w:ascii="Times New Roman" w:hAnsi="Times New Roman" w:cs="Times New Roman"/>
          <w:b/>
          <w:sz w:val="28"/>
          <w:szCs w:val="28"/>
        </w:rPr>
      </w:pPr>
      <w:r w:rsidRPr="00396987">
        <w:rPr>
          <w:rFonts w:ascii="Times New Roman" w:hAnsi="Times New Roman" w:cs="Times New Roman"/>
          <w:b/>
          <w:sz w:val="28"/>
          <w:szCs w:val="28"/>
        </w:rPr>
        <w:t xml:space="preserve">УДК: </w:t>
      </w:r>
      <w:r w:rsidR="00396987" w:rsidRPr="00396987">
        <w:rPr>
          <w:rFonts w:ascii="Times New Roman" w:hAnsi="Times New Roman" w:cs="Times New Roman"/>
          <w:b/>
          <w:sz w:val="28"/>
          <w:szCs w:val="28"/>
        </w:rPr>
        <w:t>616-71</w:t>
      </w:r>
    </w:p>
    <w:p w14:paraId="2BCA354B" w14:textId="61C9422E" w:rsidR="00CC60B5" w:rsidRPr="00427C1E" w:rsidRDefault="00A3372E" w:rsidP="0040071C">
      <w:pPr>
        <w:spacing w:after="0" w:line="240" w:lineRule="auto"/>
        <w:contextualSpacing/>
        <w:rPr>
          <w:rFonts w:ascii="Times New Roman" w:hAnsi="Times New Roman" w:cs="Times New Roman"/>
          <w:b/>
          <w:sz w:val="28"/>
          <w:szCs w:val="28"/>
        </w:rPr>
      </w:pPr>
      <w:r w:rsidRPr="00427C1E">
        <w:rPr>
          <w:rFonts w:ascii="Times New Roman" w:hAnsi="Times New Roman" w:cs="Times New Roman"/>
          <w:b/>
          <w:sz w:val="28"/>
          <w:szCs w:val="28"/>
        </w:rPr>
        <w:t xml:space="preserve">АНАЛИЗ МЕЖИНДИВИДУАЛЬНОЙ ВАРИАЦИИ И РЕФЕРЕНТНЫЕ ИНТЕРВАЛЫ ПОКАЗАТЕЛЕЙ ТЕСТА ГЕНЕРАЦИИ ТРОМБИНА </w:t>
      </w:r>
      <w:r w:rsidRPr="002D07CC">
        <w:rPr>
          <w:rFonts w:ascii="Times New Roman" w:hAnsi="Times New Roman" w:cs="Times New Roman"/>
          <w:b/>
          <w:sz w:val="28"/>
          <w:szCs w:val="28"/>
          <w:highlight w:val="yellow"/>
        </w:rPr>
        <w:t xml:space="preserve">ПРИ </w:t>
      </w:r>
      <w:r w:rsidR="00A42275" w:rsidRPr="002D07CC">
        <w:rPr>
          <w:rFonts w:ascii="Times New Roman" w:hAnsi="Times New Roman" w:cs="Times New Roman"/>
          <w:b/>
          <w:sz w:val="28"/>
          <w:szCs w:val="28"/>
          <w:highlight w:val="yellow"/>
        </w:rPr>
        <w:t>ИСПОЛЬЗОВАНИИ</w:t>
      </w:r>
      <w:r w:rsidR="00A42275">
        <w:rPr>
          <w:rFonts w:ascii="Times New Roman" w:hAnsi="Times New Roman" w:cs="Times New Roman"/>
          <w:b/>
          <w:sz w:val="28"/>
          <w:szCs w:val="28"/>
        </w:rPr>
        <w:t xml:space="preserve"> </w:t>
      </w:r>
      <w:r w:rsidRPr="00427C1E">
        <w:rPr>
          <w:rFonts w:ascii="Times New Roman" w:hAnsi="Times New Roman" w:cs="Times New Roman"/>
          <w:b/>
          <w:sz w:val="28"/>
          <w:szCs w:val="28"/>
        </w:rPr>
        <w:t>РАЗЛИЧНЫ</w:t>
      </w:r>
      <w:r w:rsidR="00A42275">
        <w:rPr>
          <w:rFonts w:ascii="Times New Roman" w:hAnsi="Times New Roman" w:cs="Times New Roman"/>
          <w:b/>
          <w:sz w:val="28"/>
          <w:szCs w:val="28"/>
        </w:rPr>
        <w:t>Х</w:t>
      </w:r>
      <w:r w:rsidRPr="00427C1E">
        <w:rPr>
          <w:rFonts w:ascii="Times New Roman" w:hAnsi="Times New Roman" w:cs="Times New Roman"/>
          <w:b/>
          <w:sz w:val="28"/>
          <w:szCs w:val="28"/>
        </w:rPr>
        <w:t xml:space="preserve"> ТЕХНОЛОГИ</w:t>
      </w:r>
      <w:r w:rsidR="00A42275">
        <w:rPr>
          <w:rFonts w:ascii="Times New Roman" w:hAnsi="Times New Roman" w:cs="Times New Roman"/>
          <w:b/>
          <w:sz w:val="28"/>
          <w:szCs w:val="28"/>
        </w:rPr>
        <w:t>Й</w:t>
      </w:r>
      <w:r w:rsidRPr="00427C1E">
        <w:rPr>
          <w:rFonts w:ascii="Times New Roman" w:hAnsi="Times New Roman" w:cs="Times New Roman"/>
          <w:b/>
          <w:sz w:val="28"/>
          <w:szCs w:val="28"/>
        </w:rPr>
        <w:t xml:space="preserve">  </w:t>
      </w:r>
    </w:p>
    <w:p w14:paraId="076B4A01" w14:textId="77777777" w:rsidR="00CC60B5" w:rsidRPr="00427C1E" w:rsidRDefault="00CC60B5" w:rsidP="0040071C">
      <w:pPr>
        <w:spacing w:line="240" w:lineRule="auto"/>
        <w:contextualSpacing/>
        <w:jc w:val="center"/>
        <w:rPr>
          <w:rFonts w:ascii="Times New Roman" w:hAnsi="Times New Roman" w:cs="Times New Roman"/>
          <w:b/>
          <w:sz w:val="28"/>
          <w:szCs w:val="28"/>
        </w:rPr>
      </w:pPr>
    </w:p>
    <w:p w14:paraId="3A02ADFA" w14:textId="77777777" w:rsidR="008B1ECC" w:rsidRDefault="00A3372E" w:rsidP="0040071C">
      <w:pPr>
        <w:spacing w:line="240" w:lineRule="auto"/>
        <w:contextualSpacing/>
        <w:rPr>
          <w:rFonts w:ascii="Times New Roman" w:hAnsi="Times New Roman" w:cs="Times New Roman"/>
          <w:b/>
          <w:sz w:val="24"/>
          <w:szCs w:val="24"/>
        </w:rPr>
      </w:pPr>
      <w:r w:rsidRPr="00817A8A">
        <w:rPr>
          <w:rFonts w:ascii="Times New Roman" w:hAnsi="Times New Roman" w:cs="Times New Roman"/>
          <w:b/>
          <w:sz w:val="24"/>
          <w:szCs w:val="24"/>
        </w:rPr>
        <w:t xml:space="preserve">Золотова Е.А. </w:t>
      </w:r>
      <w:r w:rsidRPr="00817A8A">
        <w:rPr>
          <w:rFonts w:ascii="Times New Roman" w:hAnsi="Times New Roman" w:cs="Times New Roman"/>
          <w:b/>
          <w:sz w:val="24"/>
          <w:szCs w:val="24"/>
          <w:vertAlign w:val="superscript"/>
        </w:rPr>
        <w:t>1</w:t>
      </w:r>
      <w:r w:rsidRPr="00817A8A">
        <w:rPr>
          <w:rFonts w:ascii="Times New Roman" w:hAnsi="Times New Roman" w:cs="Times New Roman"/>
          <w:b/>
          <w:sz w:val="24"/>
          <w:szCs w:val="24"/>
        </w:rPr>
        <w:t xml:space="preserve">, Мельничникова О.С. </w:t>
      </w:r>
      <w:r w:rsidRPr="00817A8A">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r w:rsidRPr="00817A8A">
        <w:rPr>
          <w:rFonts w:ascii="Times New Roman" w:hAnsi="Times New Roman" w:cs="Times New Roman"/>
          <w:b/>
          <w:sz w:val="24"/>
          <w:szCs w:val="24"/>
        </w:rPr>
        <w:t xml:space="preserve">Симакова М.А. </w:t>
      </w:r>
      <w:r w:rsidRPr="00817A8A">
        <w:rPr>
          <w:rFonts w:ascii="Times New Roman" w:hAnsi="Times New Roman" w:cs="Times New Roman"/>
          <w:b/>
          <w:sz w:val="24"/>
          <w:szCs w:val="24"/>
          <w:vertAlign w:val="superscript"/>
        </w:rPr>
        <w:t>1</w:t>
      </w:r>
      <w:r w:rsidRPr="00817A8A">
        <w:rPr>
          <w:rFonts w:ascii="Times New Roman" w:hAnsi="Times New Roman" w:cs="Times New Roman"/>
          <w:b/>
          <w:sz w:val="24"/>
          <w:szCs w:val="24"/>
        </w:rPr>
        <w:t>, Жиленкова Ю.И.</w:t>
      </w:r>
      <w:r w:rsidRPr="00817A8A">
        <w:rPr>
          <w:rFonts w:ascii="Times New Roman" w:hAnsi="Times New Roman" w:cs="Times New Roman"/>
          <w:b/>
          <w:sz w:val="24"/>
          <w:szCs w:val="24"/>
          <w:vertAlign w:val="superscript"/>
        </w:rPr>
        <w:t>1</w:t>
      </w:r>
      <w:r w:rsidRPr="00817A8A">
        <w:rPr>
          <w:rFonts w:ascii="Times New Roman" w:hAnsi="Times New Roman" w:cs="Times New Roman"/>
          <w:b/>
          <w:sz w:val="24"/>
          <w:szCs w:val="24"/>
        </w:rPr>
        <w:t xml:space="preserve">, </w:t>
      </w:r>
    </w:p>
    <w:p w14:paraId="13D930B5" w14:textId="77777777" w:rsidR="00A3372E" w:rsidRPr="00817A8A" w:rsidRDefault="00A3372E" w:rsidP="0040071C">
      <w:pPr>
        <w:spacing w:line="240" w:lineRule="auto"/>
        <w:contextualSpacing/>
        <w:rPr>
          <w:rFonts w:ascii="Times New Roman" w:hAnsi="Times New Roman" w:cs="Times New Roman"/>
          <w:b/>
          <w:sz w:val="24"/>
          <w:szCs w:val="24"/>
        </w:rPr>
      </w:pPr>
      <w:r w:rsidRPr="00817A8A">
        <w:rPr>
          <w:rFonts w:ascii="Times New Roman" w:hAnsi="Times New Roman" w:cs="Times New Roman"/>
          <w:b/>
          <w:sz w:val="24"/>
          <w:szCs w:val="24"/>
        </w:rPr>
        <w:t xml:space="preserve">Сироткина О.В. </w:t>
      </w:r>
      <w:r w:rsidRPr="00817A8A">
        <w:rPr>
          <w:rFonts w:ascii="Times New Roman" w:hAnsi="Times New Roman" w:cs="Times New Roman"/>
          <w:b/>
          <w:sz w:val="24"/>
          <w:szCs w:val="24"/>
          <w:vertAlign w:val="superscript"/>
        </w:rPr>
        <w:t>1,2,3</w:t>
      </w:r>
      <w:r w:rsidRPr="00817A8A">
        <w:rPr>
          <w:rFonts w:ascii="Times New Roman" w:hAnsi="Times New Roman" w:cs="Times New Roman"/>
          <w:b/>
          <w:sz w:val="24"/>
          <w:szCs w:val="24"/>
        </w:rPr>
        <w:t xml:space="preserve">, Вавилова Т.В. </w:t>
      </w:r>
      <w:r w:rsidRPr="00817A8A">
        <w:rPr>
          <w:rFonts w:ascii="Times New Roman" w:hAnsi="Times New Roman" w:cs="Times New Roman"/>
          <w:b/>
          <w:sz w:val="24"/>
          <w:szCs w:val="24"/>
          <w:vertAlign w:val="superscript"/>
        </w:rPr>
        <w:t>1</w:t>
      </w:r>
      <w:r w:rsidRPr="00817A8A">
        <w:rPr>
          <w:rFonts w:ascii="Times New Roman" w:hAnsi="Times New Roman" w:cs="Times New Roman"/>
          <w:b/>
          <w:sz w:val="24"/>
          <w:szCs w:val="24"/>
        </w:rPr>
        <w:t xml:space="preserve"> </w:t>
      </w:r>
    </w:p>
    <w:p w14:paraId="0E2E3DEA" w14:textId="77777777" w:rsidR="00A3372E" w:rsidRPr="00B42582" w:rsidRDefault="00A3372E" w:rsidP="0040071C">
      <w:pPr>
        <w:pStyle w:val="a9"/>
        <w:spacing w:before="0" w:beforeAutospacing="0" w:after="0" w:afterAutospacing="0"/>
        <w:contextualSpacing/>
      </w:pPr>
      <w:r w:rsidRPr="00B42582">
        <w:rPr>
          <w:vertAlign w:val="superscript"/>
        </w:rPr>
        <w:t>1</w:t>
      </w:r>
      <w:r w:rsidRPr="00B42582">
        <w:rPr>
          <w:color w:val="000000"/>
        </w:rPr>
        <w:t>Федеральное государственное бюджетное учреждение «Национальный медицинский исследовательский центр им. В. А. Алмазова» Минздрава России, Санкт-Петербург, Россия, 197341, Санкт-Петербург, ул. Аккуратова, д. 2.</w:t>
      </w:r>
    </w:p>
    <w:p w14:paraId="1F09E94A" w14:textId="77777777" w:rsidR="00A3372E" w:rsidRPr="00B42582" w:rsidRDefault="00A3372E" w:rsidP="0040071C">
      <w:pPr>
        <w:pStyle w:val="a9"/>
        <w:spacing w:before="0" w:beforeAutospacing="0" w:after="0" w:afterAutospacing="0"/>
        <w:contextualSpacing/>
      </w:pPr>
      <w:r w:rsidRPr="00B42582">
        <w:rPr>
          <w:rFonts w:eastAsia="Times New Roman"/>
          <w:vertAlign w:val="superscript"/>
        </w:rPr>
        <w:t>2</w:t>
      </w:r>
      <w:r w:rsidRPr="00B42582">
        <w:rPr>
          <w:color w:val="000000"/>
        </w:rPr>
        <w:t>Федеральное государственное бюджетное учреждение «Петербургский институт ядерной физики им. Б.П. Константинова Национального исследовательского центра «Курчатовский институт», Санкт-Петербург, Россия, 188300, Гатчина, Ленинградская обл., микрорайон Орлова Роща, д.1.</w:t>
      </w:r>
    </w:p>
    <w:p w14:paraId="5A4786F6" w14:textId="77777777" w:rsidR="00A3372E" w:rsidRDefault="00A3372E" w:rsidP="0040071C">
      <w:pPr>
        <w:pStyle w:val="a9"/>
        <w:spacing w:before="0" w:beforeAutospacing="0" w:after="0" w:afterAutospacing="0"/>
        <w:contextualSpacing/>
        <w:rPr>
          <w:color w:val="000000"/>
        </w:rPr>
      </w:pPr>
      <w:r w:rsidRPr="00B42582">
        <w:rPr>
          <w:vertAlign w:val="superscript"/>
        </w:rPr>
        <w:t>3</w:t>
      </w:r>
      <w:r w:rsidRPr="00B42582">
        <w:rPr>
          <w:color w:val="000000"/>
        </w:rPr>
        <w:t>Федеральное государственное бюджетное образовательное учреждение высшего образования «Первый Санкт-Петербургский государственный медицинский университет имени академика И.П. Павлова» Минздрава России, Санкт-Петербург, Россия, 197022, Санкт-Петербург, ул. Л. Толстого, д. 6/8.</w:t>
      </w:r>
    </w:p>
    <w:p w14:paraId="0511655C" w14:textId="77777777" w:rsidR="00A3372E" w:rsidRDefault="00A3372E" w:rsidP="0040071C">
      <w:pPr>
        <w:contextualSpacing/>
        <w:rPr>
          <w:rFonts w:ascii="Times New Roman" w:hAnsi="Times New Roman" w:cs="Times New Roman"/>
          <w:b/>
          <w:sz w:val="24"/>
          <w:szCs w:val="24"/>
        </w:rPr>
      </w:pPr>
    </w:p>
    <w:p w14:paraId="076A33AC" w14:textId="77777777" w:rsidR="00A3372E" w:rsidRPr="005B0C85" w:rsidRDefault="00A3372E" w:rsidP="0040071C">
      <w:pPr>
        <w:contextualSpacing/>
        <w:rPr>
          <w:rFonts w:ascii="Times New Roman" w:hAnsi="Times New Roman" w:cs="Times New Roman"/>
          <w:b/>
          <w:sz w:val="24"/>
          <w:szCs w:val="24"/>
        </w:rPr>
      </w:pPr>
      <w:r w:rsidRPr="005B0C85">
        <w:rPr>
          <w:rFonts w:ascii="Times New Roman" w:hAnsi="Times New Roman" w:cs="Times New Roman"/>
          <w:b/>
          <w:sz w:val="24"/>
          <w:szCs w:val="24"/>
        </w:rPr>
        <w:t xml:space="preserve">Контактная информация: </w:t>
      </w:r>
    </w:p>
    <w:p w14:paraId="104CF846" w14:textId="77777777" w:rsidR="00A3372E" w:rsidRPr="005B0C85" w:rsidRDefault="00A3372E" w:rsidP="0040071C">
      <w:pPr>
        <w:contextualSpacing/>
        <w:rPr>
          <w:rFonts w:ascii="Times New Roman" w:hAnsi="Times New Roman" w:cs="Times New Roman"/>
          <w:sz w:val="24"/>
          <w:szCs w:val="24"/>
        </w:rPr>
      </w:pPr>
      <w:r w:rsidRPr="005B0C85">
        <w:rPr>
          <w:rFonts w:ascii="Times New Roman" w:hAnsi="Times New Roman" w:cs="Times New Roman"/>
          <w:sz w:val="24"/>
          <w:szCs w:val="24"/>
        </w:rPr>
        <w:t xml:space="preserve">Золотова Екатерина Алексеевна, </w:t>
      </w:r>
    </w:p>
    <w:p w14:paraId="73DD3E0A" w14:textId="77777777" w:rsidR="00A3372E" w:rsidRPr="005B0C85" w:rsidRDefault="00A3372E" w:rsidP="0040071C">
      <w:pPr>
        <w:contextualSpacing/>
        <w:rPr>
          <w:rFonts w:ascii="Times New Roman" w:hAnsi="Times New Roman" w:cs="Times New Roman"/>
          <w:sz w:val="24"/>
          <w:szCs w:val="24"/>
        </w:rPr>
      </w:pPr>
      <w:r w:rsidRPr="005B0C85">
        <w:rPr>
          <w:rFonts w:ascii="Times New Roman" w:hAnsi="Times New Roman" w:cs="Times New Roman"/>
          <w:sz w:val="24"/>
          <w:szCs w:val="24"/>
        </w:rPr>
        <w:t>ФГБУ «НМИЦ им. В. А. Алмазова»</w:t>
      </w:r>
    </w:p>
    <w:p w14:paraId="09A1F0B6" w14:textId="77777777" w:rsidR="00A3372E" w:rsidRPr="00922B0E" w:rsidRDefault="00A3372E" w:rsidP="0040071C">
      <w:pPr>
        <w:contextualSpacing/>
        <w:rPr>
          <w:rFonts w:ascii="Times New Roman" w:hAnsi="Times New Roman" w:cs="Times New Roman"/>
          <w:sz w:val="24"/>
          <w:szCs w:val="24"/>
        </w:rPr>
      </w:pPr>
      <w:r w:rsidRPr="005B0C85">
        <w:rPr>
          <w:rFonts w:ascii="Times New Roman" w:hAnsi="Times New Roman" w:cs="Times New Roman"/>
          <w:sz w:val="24"/>
          <w:szCs w:val="24"/>
        </w:rPr>
        <w:t>Минздрава России</w:t>
      </w:r>
      <w:r w:rsidRPr="00922B0E">
        <w:rPr>
          <w:rFonts w:ascii="Times New Roman" w:hAnsi="Times New Roman" w:cs="Times New Roman"/>
          <w:sz w:val="24"/>
          <w:szCs w:val="24"/>
        </w:rPr>
        <w:t>,</w:t>
      </w:r>
    </w:p>
    <w:p w14:paraId="249C18F6" w14:textId="77777777" w:rsidR="00A3372E" w:rsidRPr="005B0C85" w:rsidRDefault="00A3372E" w:rsidP="0040071C">
      <w:pPr>
        <w:contextualSpacing/>
        <w:rPr>
          <w:rFonts w:ascii="Times New Roman" w:hAnsi="Times New Roman" w:cs="Times New Roman"/>
          <w:sz w:val="24"/>
          <w:szCs w:val="24"/>
        </w:rPr>
      </w:pPr>
      <w:r w:rsidRPr="005B0C85">
        <w:rPr>
          <w:rFonts w:ascii="Times New Roman" w:hAnsi="Times New Roman" w:cs="Times New Roman"/>
          <w:sz w:val="24"/>
          <w:szCs w:val="24"/>
        </w:rPr>
        <w:t xml:space="preserve">ул. Аккуратова, д. 2, Санкт-Петербург, </w:t>
      </w:r>
    </w:p>
    <w:p w14:paraId="13765A9B" w14:textId="77777777" w:rsidR="00A3372E" w:rsidRPr="005B0C85" w:rsidRDefault="00A3372E" w:rsidP="0040071C">
      <w:pPr>
        <w:contextualSpacing/>
        <w:rPr>
          <w:rFonts w:ascii="Times New Roman" w:hAnsi="Times New Roman" w:cs="Times New Roman"/>
          <w:sz w:val="24"/>
          <w:szCs w:val="24"/>
        </w:rPr>
      </w:pPr>
      <w:r w:rsidRPr="005B0C85">
        <w:rPr>
          <w:rFonts w:ascii="Times New Roman" w:hAnsi="Times New Roman" w:cs="Times New Roman"/>
          <w:sz w:val="24"/>
          <w:szCs w:val="24"/>
        </w:rPr>
        <w:t xml:space="preserve">Россия, 197341. </w:t>
      </w:r>
    </w:p>
    <w:p w14:paraId="3E7E997E" w14:textId="77777777" w:rsidR="00A3372E" w:rsidRPr="00106C5D" w:rsidRDefault="00A3372E" w:rsidP="0040071C">
      <w:pPr>
        <w:contextualSpacing/>
        <w:rPr>
          <w:rStyle w:val="af1"/>
          <w:rFonts w:ascii="Times New Roman" w:hAnsi="Times New Roman" w:cs="Times New Roman"/>
          <w:sz w:val="24"/>
          <w:szCs w:val="24"/>
        </w:rPr>
      </w:pPr>
      <w:r w:rsidRPr="005B0C85">
        <w:rPr>
          <w:rFonts w:ascii="Times New Roman" w:hAnsi="Times New Roman" w:cs="Times New Roman"/>
          <w:sz w:val="24"/>
          <w:szCs w:val="24"/>
          <w:lang w:val="en-US"/>
        </w:rPr>
        <w:t>E</w:t>
      </w:r>
      <w:r w:rsidRPr="00106C5D">
        <w:rPr>
          <w:rFonts w:ascii="Times New Roman" w:hAnsi="Times New Roman" w:cs="Times New Roman"/>
          <w:sz w:val="24"/>
          <w:szCs w:val="24"/>
        </w:rPr>
        <w:t>-</w:t>
      </w:r>
      <w:r w:rsidRPr="005B0C85">
        <w:rPr>
          <w:rFonts w:ascii="Times New Roman" w:hAnsi="Times New Roman" w:cs="Times New Roman"/>
          <w:sz w:val="24"/>
          <w:szCs w:val="24"/>
          <w:lang w:val="en-US"/>
        </w:rPr>
        <w:t>mail</w:t>
      </w:r>
      <w:r w:rsidRPr="00106C5D">
        <w:rPr>
          <w:rFonts w:ascii="Times New Roman" w:hAnsi="Times New Roman" w:cs="Times New Roman"/>
          <w:sz w:val="24"/>
          <w:szCs w:val="24"/>
        </w:rPr>
        <w:t xml:space="preserve">: </w:t>
      </w:r>
      <w:hyperlink r:id="rId8" w:history="1">
        <w:r w:rsidRPr="005B0C85">
          <w:rPr>
            <w:rStyle w:val="af1"/>
            <w:rFonts w:ascii="Times New Roman" w:hAnsi="Times New Roman" w:cs="Times New Roman"/>
            <w:sz w:val="24"/>
            <w:szCs w:val="24"/>
            <w:lang w:val="en-US"/>
          </w:rPr>
          <w:t>katerinazolotova</w:t>
        </w:r>
        <w:r w:rsidRPr="00106C5D">
          <w:rPr>
            <w:rStyle w:val="af1"/>
            <w:rFonts w:ascii="Times New Roman" w:hAnsi="Times New Roman" w:cs="Times New Roman"/>
            <w:sz w:val="24"/>
            <w:szCs w:val="24"/>
          </w:rPr>
          <w:t>1@</w:t>
        </w:r>
        <w:r w:rsidRPr="005B0C85">
          <w:rPr>
            <w:rStyle w:val="af1"/>
            <w:rFonts w:ascii="Times New Roman" w:hAnsi="Times New Roman" w:cs="Times New Roman"/>
            <w:sz w:val="24"/>
            <w:szCs w:val="24"/>
            <w:lang w:val="en-US"/>
          </w:rPr>
          <w:t>gmail</w:t>
        </w:r>
        <w:r w:rsidRPr="00106C5D">
          <w:rPr>
            <w:rStyle w:val="af1"/>
            <w:rFonts w:ascii="Times New Roman" w:hAnsi="Times New Roman" w:cs="Times New Roman"/>
            <w:sz w:val="24"/>
            <w:szCs w:val="24"/>
          </w:rPr>
          <w:t>.</w:t>
        </w:r>
        <w:r w:rsidRPr="005B0C85">
          <w:rPr>
            <w:rStyle w:val="af1"/>
            <w:rFonts w:ascii="Times New Roman" w:hAnsi="Times New Roman" w:cs="Times New Roman"/>
            <w:sz w:val="24"/>
            <w:szCs w:val="24"/>
            <w:lang w:val="en-US"/>
          </w:rPr>
          <w:t>com</w:t>
        </w:r>
      </w:hyperlink>
      <w:r w:rsidRPr="00106C5D">
        <w:rPr>
          <w:rFonts w:ascii="Times New Roman" w:hAnsi="Times New Roman" w:cs="Times New Roman"/>
          <w:sz w:val="24"/>
          <w:szCs w:val="24"/>
        </w:rPr>
        <w:t xml:space="preserve"> </w:t>
      </w:r>
    </w:p>
    <w:p w14:paraId="19D33E8F" w14:textId="77777777" w:rsidR="0092756D" w:rsidRDefault="0092756D" w:rsidP="0040071C">
      <w:pPr>
        <w:spacing w:after="0" w:line="240" w:lineRule="auto"/>
        <w:contextualSpacing/>
        <w:jc w:val="both"/>
        <w:rPr>
          <w:rFonts w:ascii="Times New Roman" w:hAnsi="Times New Roman" w:cs="Times New Roman"/>
          <w:b/>
          <w:sz w:val="24"/>
          <w:szCs w:val="24"/>
        </w:rPr>
      </w:pPr>
    </w:p>
    <w:p w14:paraId="5813A7E0" w14:textId="77777777" w:rsidR="00A3372E" w:rsidRPr="00B262B8" w:rsidRDefault="00A3372E" w:rsidP="0040071C">
      <w:pPr>
        <w:spacing w:after="0" w:line="240" w:lineRule="auto"/>
        <w:contextualSpacing/>
        <w:jc w:val="both"/>
        <w:rPr>
          <w:rFonts w:ascii="Times New Roman" w:hAnsi="Times New Roman" w:cs="Times New Roman"/>
          <w:b/>
          <w:sz w:val="24"/>
          <w:szCs w:val="24"/>
        </w:rPr>
      </w:pPr>
      <w:r w:rsidRPr="00B42582">
        <w:rPr>
          <w:rFonts w:ascii="Times New Roman" w:hAnsi="Times New Roman" w:cs="Times New Roman"/>
          <w:b/>
          <w:sz w:val="24"/>
          <w:szCs w:val="24"/>
        </w:rPr>
        <w:t>Резюме</w:t>
      </w:r>
    </w:p>
    <w:p w14:paraId="4E2BD66B" w14:textId="6983BBDE" w:rsidR="00B77058" w:rsidRPr="00166690" w:rsidRDefault="00A3372E" w:rsidP="00362EE1">
      <w:pPr>
        <w:spacing w:line="240" w:lineRule="auto"/>
        <w:ind w:firstLine="709"/>
        <w:contextualSpacing/>
        <w:jc w:val="both"/>
        <w:rPr>
          <w:rFonts w:ascii="Times New Roman" w:hAnsi="Times New Roman" w:cs="Times New Roman"/>
          <w:color w:val="000000"/>
          <w:sz w:val="24"/>
          <w:szCs w:val="24"/>
          <w:shd w:val="clear" w:color="auto" w:fill="FFFFFF"/>
        </w:rPr>
      </w:pPr>
      <w:r w:rsidRPr="00FE2599">
        <w:rPr>
          <w:rFonts w:ascii="Times New Roman" w:hAnsi="Times New Roman" w:cs="Times New Roman"/>
          <w:b/>
          <w:color w:val="000000"/>
          <w:sz w:val="24"/>
          <w:szCs w:val="24"/>
          <w:shd w:val="clear" w:color="auto" w:fill="FFFFFF"/>
        </w:rPr>
        <w:t>Актуальность</w:t>
      </w:r>
      <w:r w:rsidRPr="00FE2599">
        <w:rPr>
          <w:rFonts w:ascii="Times New Roman" w:hAnsi="Times New Roman" w:cs="Times New Roman"/>
          <w:color w:val="000000"/>
          <w:sz w:val="24"/>
          <w:szCs w:val="24"/>
          <w:shd w:val="clear" w:color="auto" w:fill="FFFFFF"/>
        </w:rPr>
        <w:t xml:space="preserve">. </w:t>
      </w:r>
      <w:r w:rsidR="001F7783">
        <w:rPr>
          <w:rFonts w:ascii="Times New Roman" w:hAnsi="Times New Roman" w:cs="Times New Roman"/>
          <w:color w:val="000000"/>
          <w:sz w:val="24"/>
          <w:szCs w:val="24"/>
          <w:shd w:val="clear" w:color="auto" w:fill="FFFFFF"/>
        </w:rPr>
        <w:t>Тест генерации тромбина</w:t>
      </w:r>
      <w:r w:rsidR="000A35B7">
        <w:rPr>
          <w:rFonts w:ascii="Times New Roman" w:hAnsi="Times New Roman" w:cs="Times New Roman"/>
          <w:color w:val="000000"/>
          <w:sz w:val="24"/>
          <w:szCs w:val="24"/>
          <w:shd w:val="clear" w:color="auto" w:fill="FFFFFF"/>
        </w:rPr>
        <w:t xml:space="preserve"> </w:t>
      </w:r>
      <w:r w:rsidR="000A35B7" w:rsidRPr="001039BB">
        <w:rPr>
          <w:rFonts w:ascii="Times New Roman" w:hAnsi="Times New Roman" w:cs="Times New Roman"/>
          <w:color w:val="000000"/>
          <w:sz w:val="24"/>
          <w:szCs w:val="24"/>
          <w:shd w:val="clear" w:color="auto" w:fill="FFFFFF"/>
        </w:rPr>
        <w:t>(ТГТ)</w:t>
      </w:r>
      <w:r w:rsidR="001F7783">
        <w:rPr>
          <w:rFonts w:ascii="Times New Roman" w:hAnsi="Times New Roman" w:cs="Times New Roman"/>
          <w:color w:val="000000"/>
          <w:sz w:val="24"/>
          <w:szCs w:val="24"/>
          <w:shd w:val="clear" w:color="auto" w:fill="FFFFFF"/>
        </w:rPr>
        <w:t xml:space="preserve"> как интегральный метод анализа каскада активации естественных про- </w:t>
      </w:r>
      <w:r w:rsidR="00E022EA">
        <w:rPr>
          <w:rFonts w:ascii="Times New Roman" w:hAnsi="Times New Roman" w:cs="Times New Roman"/>
          <w:color w:val="000000"/>
          <w:sz w:val="24"/>
          <w:szCs w:val="24"/>
          <w:shd w:val="clear" w:color="auto" w:fill="FFFFFF"/>
        </w:rPr>
        <w:t xml:space="preserve">и </w:t>
      </w:r>
      <w:r w:rsidR="001F7783">
        <w:rPr>
          <w:rFonts w:ascii="Times New Roman" w:hAnsi="Times New Roman" w:cs="Times New Roman"/>
          <w:color w:val="000000"/>
          <w:sz w:val="24"/>
          <w:szCs w:val="24"/>
          <w:shd w:val="clear" w:color="auto" w:fill="FFFFFF"/>
        </w:rPr>
        <w:t xml:space="preserve">антикоагулянтов имеет практическое значение в оценке риска </w:t>
      </w:r>
      <w:r w:rsidR="001F7783" w:rsidRPr="00FE2599">
        <w:rPr>
          <w:rFonts w:ascii="Times New Roman" w:hAnsi="Times New Roman" w:cs="Times New Roman"/>
          <w:color w:val="000000"/>
          <w:sz w:val="24"/>
          <w:szCs w:val="24"/>
          <w:shd w:val="clear" w:color="auto" w:fill="FFFFFF"/>
        </w:rPr>
        <w:t>тромботических состояний и кровотечений</w:t>
      </w:r>
      <w:r w:rsidR="00E022EA">
        <w:rPr>
          <w:rFonts w:ascii="Times New Roman" w:hAnsi="Times New Roman" w:cs="Times New Roman"/>
          <w:color w:val="000000"/>
          <w:sz w:val="24"/>
          <w:szCs w:val="24"/>
          <w:shd w:val="clear" w:color="auto" w:fill="FFFFFF"/>
        </w:rPr>
        <w:t>.</w:t>
      </w:r>
      <w:r w:rsidR="001F7783">
        <w:rPr>
          <w:rFonts w:ascii="Times New Roman" w:hAnsi="Times New Roman" w:cs="Times New Roman"/>
          <w:color w:val="000000"/>
          <w:sz w:val="24"/>
          <w:szCs w:val="24"/>
          <w:shd w:val="clear" w:color="auto" w:fill="FFFFFF"/>
        </w:rPr>
        <w:t xml:space="preserve"> </w:t>
      </w:r>
      <w:r w:rsidR="00FE2599">
        <w:rPr>
          <w:rFonts w:ascii="Times New Roman" w:hAnsi="Times New Roman" w:cs="Times New Roman"/>
          <w:color w:val="000000"/>
          <w:sz w:val="24"/>
          <w:szCs w:val="24"/>
          <w:shd w:val="clear" w:color="auto" w:fill="FFFFFF"/>
        </w:rPr>
        <w:t xml:space="preserve">Однако применение метода ограничивает отсутствие </w:t>
      </w:r>
      <w:r w:rsidR="001F7783">
        <w:rPr>
          <w:rFonts w:ascii="Times New Roman" w:hAnsi="Times New Roman" w:cs="Times New Roman"/>
          <w:color w:val="000000"/>
          <w:sz w:val="24"/>
          <w:szCs w:val="24"/>
          <w:shd w:val="clear" w:color="auto" w:fill="FFFFFF"/>
        </w:rPr>
        <w:t>стандартизации</w:t>
      </w:r>
      <w:r w:rsidR="00FE2599">
        <w:rPr>
          <w:rFonts w:ascii="Times New Roman" w:hAnsi="Times New Roman" w:cs="Times New Roman"/>
          <w:color w:val="000000"/>
          <w:sz w:val="24"/>
          <w:szCs w:val="24"/>
          <w:shd w:val="clear" w:color="auto" w:fill="FFFFFF"/>
        </w:rPr>
        <w:t>.</w:t>
      </w:r>
      <w:r w:rsidR="00FE2599" w:rsidRPr="00FE2599">
        <w:rPr>
          <w:rFonts w:ascii="Times New Roman" w:hAnsi="Times New Roman" w:cs="Times New Roman"/>
          <w:color w:val="000000"/>
          <w:sz w:val="24"/>
          <w:szCs w:val="24"/>
          <w:shd w:val="clear" w:color="auto" w:fill="FFFFFF"/>
        </w:rPr>
        <w:t xml:space="preserve"> </w:t>
      </w:r>
      <w:r w:rsidR="00FE2599" w:rsidRPr="00FE2599">
        <w:rPr>
          <w:rFonts w:ascii="Times New Roman" w:hAnsi="Times New Roman" w:cs="Times New Roman"/>
          <w:b/>
          <w:color w:val="000000"/>
          <w:sz w:val="24"/>
          <w:szCs w:val="24"/>
          <w:shd w:val="clear" w:color="auto" w:fill="FFFFFF"/>
        </w:rPr>
        <w:t xml:space="preserve">Цель: </w:t>
      </w:r>
      <w:r w:rsidR="00FE2599" w:rsidRPr="00FE2599">
        <w:rPr>
          <w:rFonts w:ascii="Times New Roman" w:hAnsi="Times New Roman" w:cs="Times New Roman"/>
          <w:sz w:val="24"/>
          <w:szCs w:val="24"/>
        </w:rPr>
        <w:t>определить референтные интервалы внутри лаборатории и оценить межиндивидуальную вариацию</w:t>
      </w:r>
      <w:r w:rsidR="00B777EA">
        <w:rPr>
          <w:rFonts w:ascii="Times New Roman" w:hAnsi="Times New Roman" w:cs="Times New Roman"/>
          <w:sz w:val="24"/>
          <w:szCs w:val="24"/>
        </w:rPr>
        <w:t xml:space="preserve"> </w:t>
      </w:r>
      <w:r w:rsidR="00FE2599" w:rsidRPr="00FE2599">
        <w:rPr>
          <w:rFonts w:ascii="Times New Roman" w:hAnsi="Times New Roman" w:cs="Times New Roman"/>
          <w:sz w:val="24"/>
          <w:szCs w:val="24"/>
        </w:rPr>
        <w:t xml:space="preserve">показателей ТГТ в различных технологиях </w:t>
      </w:r>
      <w:r w:rsidR="00BD698B">
        <w:rPr>
          <w:rFonts w:ascii="Times New Roman" w:hAnsi="Times New Roman" w:cs="Times New Roman"/>
          <w:sz w:val="24"/>
          <w:szCs w:val="24"/>
        </w:rPr>
        <w:t xml:space="preserve">его </w:t>
      </w:r>
      <w:r w:rsidR="00FE2599" w:rsidRPr="00FE2599">
        <w:rPr>
          <w:rFonts w:ascii="Times New Roman" w:hAnsi="Times New Roman" w:cs="Times New Roman"/>
          <w:sz w:val="24"/>
          <w:szCs w:val="24"/>
        </w:rPr>
        <w:t>выполнения.</w:t>
      </w:r>
      <w:r w:rsidR="00FE2599">
        <w:rPr>
          <w:rFonts w:ascii="Times New Roman" w:hAnsi="Times New Roman" w:cs="Times New Roman"/>
          <w:sz w:val="24"/>
          <w:szCs w:val="24"/>
        </w:rPr>
        <w:t xml:space="preserve"> </w:t>
      </w:r>
      <w:r w:rsidRPr="003416A8">
        <w:rPr>
          <w:rFonts w:ascii="Times New Roman" w:hAnsi="Times New Roman" w:cs="Times New Roman"/>
          <w:b/>
          <w:color w:val="000000"/>
          <w:sz w:val="24"/>
          <w:szCs w:val="24"/>
          <w:shd w:val="clear" w:color="auto" w:fill="FFFFFF"/>
        </w:rPr>
        <w:t>Материалы и методы</w:t>
      </w:r>
      <w:r>
        <w:rPr>
          <w:rFonts w:ascii="Times New Roman" w:hAnsi="Times New Roman" w:cs="Times New Roman"/>
          <w:color w:val="000000"/>
          <w:sz w:val="24"/>
          <w:szCs w:val="24"/>
          <w:shd w:val="clear" w:color="auto" w:fill="FFFFFF"/>
        </w:rPr>
        <w:t xml:space="preserve">. </w:t>
      </w:r>
      <w:r w:rsidR="00FE2599" w:rsidRPr="00FE2599">
        <w:rPr>
          <w:rFonts w:ascii="Times New Roman" w:hAnsi="Times New Roman" w:cs="Times New Roman"/>
          <w:color w:val="000000"/>
          <w:sz w:val="24"/>
          <w:szCs w:val="24"/>
          <w:shd w:val="clear" w:color="auto" w:fill="FFFFFF"/>
        </w:rPr>
        <w:t>В исследование вошли 20 доноров (46,13 [38,75-54,50] лет, 11 мужчин, 9 женщин)</w:t>
      </w:r>
      <w:r w:rsidR="00FE2599">
        <w:rPr>
          <w:rFonts w:ascii="Times New Roman" w:hAnsi="Times New Roman" w:cs="Times New Roman"/>
          <w:color w:val="000000"/>
          <w:sz w:val="24"/>
          <w:szCs w:val="24"/>
          <w:shd w:val="clear" w:color="auto" w:fill="FFFFFF"/>
        </w:rPr>
        <w:t xml:space="preserve">. </w:t>
      </w:r>
      <w:r w:rsidR="001F7783">
        <w:rPr>
          <w:rFonts w:ascii="Times New Roman" w:hAnsi="Times New Roman" w:cs="Times New Roman"/>
          <w:color w:val="000000"/>
          <w:sz w:val="24"/>
          <w:szCs w:val="24"/>
          <w:shd w:val="clear" w:color="auto" w:fill="FFFFFF"/>
        </w:rPr>
        <w:t xml:space="preserve">ТГТ проведен с помощью двух </w:t>
      </w:r>
      <w:r w:rsidR="00E92325">
        <w:rPr>
          <w:rFonts w:ascii="Times New Roman" w:hAnsi="Times New Roman" w:cs="Times New Roman"/>
          <w:color w:val="000000"/>
          <w:sz w:val="24"/>
          <w:szCs w:val="24"/>
          <w:shd w:val="clear" w:color="auto" w:fill="FFFFFF"/>
        </w:rPr>
        <w:t>технологий</w:t>
      </w:r>
      <w:r w:rsidR="000A35B7" w:rsidRPr="001039BB">
        <w:rPr>
          <w:rFonts w:ascii="Times New Roman" w:hAnsi="Times New Roman" w:cs="Times New Roman"/>
          <w:color w:val="000000"/>
          <w:sz w:val="24"/>
          <w:szCs w:val="24"/>
          <w:shd w:val="clear" w:color="auto" w:fill="FFFFFF"/>
        </w:rPr>
        <w:t>:</w:t>
      </w:r>
      <w:r w:rsidR="00E92325">
        <w:rPr>
          <w:rFonts w:ascii="Times New Roman" w:hAnsi="Times New Roman" w:cs="Times New Roman"/>
          <w:color w:val="000000"/>
          <w:sz w:val="24"/>
          <w:szCs w:val="24"/>
          <w:shd w:val="clear" w:color="auto" w:fill="FFFFFF"/>
        </w:rPr>
        <w:t xml:space="preserve"> калиброванной</w:t>
      </w:r>
      <w:r w:rsidR="00FE2599" w:rsidRPr="00FE2599">
        <w:rPr>
          <w:rFonts w:ascii="Times New Roman" w:hAnsi="Times New Roman" w:cs="Times New Roman"/>
          <w:color w:val="000000"/>
          <w:sz w:val="24"/>
          <w:szCs w:val="24"/>
          <w:shd w:val="clear" w:color="auto" w:fill="FFFFFF"/>
        </w:rPr>
        <w:t xml:space="preserve"> </w:t>
      </w:r>
      <w:r w:rsidR="00FE2599">
        <w:rPr>
          <w:rFonts w:ascii="Times New Roman" w:hAnsi="Times New Roman" w:cs="Times New Roman"/>
          <w:color w:val="000000"/>
          <w:sz w:val="24"/>
          <w:szCs w:val="24"/>
          <w:shd w:val="clear" w:color="auto" w:fill="FFFFFF"/>
        </w:rPr>
        <w:t>автоматизированной тромбограммы</w:t>
      </w:r>
      <w:r w:rsidR="007F38D4">
        <w:rPr>
          <w:rFonts w:ascii="Times New Roman" w:hAnsi="Times New Roman" w:cs="Times New Roman"/>
          <w:color w:val="000000"/>
          <w:sz w:val="24"/>
          <w:szCs w:val="24"/>
          <w:shd w:val="clear" w:color="auto" w:fill="FFFFFF"/>
        </w:rPr>
        <w:t xml:space="preserve"> </w:t>
      </w:r>
      <w:r w:rsidR="00BD698B">
        <w:rPr>
          <w:rFonts w:ascii="Times New Roman" w:hAnsi="Times New Roman" w:cs="Times New Roman"/>
          <w:color w:val="000000"/>
          <w:sz w:val="24"/>
          <w:szCs w:val="24"/>
          <w:shd w:val="clear" w:color="auto" w:fill="FFFFFF"/>
        </w:rPr>
        <w:t xml:space="preserve">на полуавтоматическом флуориметре </w:t>
      </w:r>
      <w:r w:rsidR="007F38D4">
        <w:rPr>
          <w:rFonts w:ascii="Times New Roman" w:hAnsi="Times New Roman" w:cs="Times New Roman"/>
          <w:color w:val="000000"/>
          <w:sz w:val="24"/>
          <w:szCs w:val="24"/>
          <w:shd w:val="clear" w:color="auto" w:fill="FFFFFF"/>
        </w:rPr>
        <w:t>(КАТ, Технология 1)</w:t>
      </w:r>
      <w:r w:rsidR="00335104">
        <w:rPr>
          <w:rFonts w:ascii="Times New Roman" w:hAnsi="Times New Roman" w:cs="Times New Roman"/>
          <w:color w:val="000000"/>
          <w:sz w:val="24"/>
          <w:szCs w:val="24"/>
          <w:shd w:val="clear" w:color="auto" w:fill="FFFFFF"/>
        </w:rPr>
        <w:t xml:space="preserve"> (</w:t>
      </w:r>
      <w:r w:rsidR="00810C5D">
        <w:rPr>
          <w:rFonts w:ascii="Times New Roman" w:hAnsi="Times New Roman" w:cs="Times New Roman"/>
          <w:color w:val="000000"/>
          <w:sz w:val="24"/>
          <w:szCs w:val="24"/>
          <w:shd w:val="clear" w:color="auto" w:fill="FFFFFF"/>
          <w:lang w:val="en-US"/>
        </w:rPr>
        <w:t>Fluoroscan</w:t>
      </w:r>
      <w:r w:rsidR="00810C5D" w:rsidRPr="00810C5D">
        <w:rPr>
          <w:rFonts w:ascii="Times New Roman" w:hAnsi="Times New Roman" w:cs="Times New Roman"/>
          <w:color w:val="000000"/>
          <w:sz w:val="24"/>
          <w:szCs w:val="24"/>
          <w:shd w:val="clear" w:color="auto" w:fill="FFFFFF"/>
        </w:rPr>
        <w:t xml:space="preserve"> </w:t>
      </w:r>
      <w:r w:rsidR="00810C5D">
        <w:rPr>
          <w:rFonts w:ascii="Times New Roman" w:hAnsi="Times New Roman" w:cs="Times New Roman"/>
          <w:color w:val="000000"/>
          <w:sz w:val="24"/>
          <w:szCs w:val="24"/>
          <w:shd w:val="clear" w:color="auto" w:fill="FFFFFF"/>
          <w:lang w:val="en-US"/>
        </w:rPr>
        <w:t>Ascent</w:t>
      </w:r>
      <w:r w:rsidR="000A35B7">
        <w:rPr>
          <w:rFonts w:ascii="Times New Roman" w:hAnsi="Times New Roman" w:cs="Times New Roman"/>
          <w:color w:val="000000"/>
          <w:sz w:val="24"/>
          <w:szCs w:val="24"/>
          <w:shd w:val="clear" w:color="auto" w:fill="FFFFFF"/>
        </w:rPr>
        <w:t xml:space="preserve">, </w:t>
      </w:r>
      <w:r w:rsidR="00A42275" w:rsidRPr="00A42275">
        <w:rPr>
          <w:rFonts w:ascii="Times New Roman" w:hAnsi="Times New Roman" w:cs="Times New Roman"/>
          <w:color w:val="000000"/>
          <w:sz w:val="24"/>
          <w:szCs w:val="24"/>
          <w:shd w:val="clear" w:color="auto" w:fill="FFFFFF"/>
        </w:rPr>
        <w:t>ThermoFisher Scientific</w:t>
      </w:r>
      <w:r w:rsidR="00A42275">
        <w:rPr>
          <w:rFonts w:ascii="Times New Roman" w:hAnsi="Times New Roman" w:cs="Times New Roman"/>
          <w:color w:val="000000"/>
          <w:sz w:val="24"/>
          <w:szCs w:val="24"/>
          <w:shd w:val="clear" w:color="auto" w:fill="FFFFFF"/>
        </w:rPr>
        <w:t>, США</w:t>
      </w:r>
      <w:r w:rsidR="00335104">
        <w:rPr>
          <w:rFonts w:ascii="Times New Roman" w:hAnsi="Times New Roman" w:cs="Times New Roman"/>
          <w:color w:val="000000"/>
          <w:sz w:val="24"/>
          <w:szCs w:val="24"/>
          <w:shd w:val="clear" w:color="auto" w:fill="FFFFFF"/>
        </w:rPr>
        <w:t xml:space="preserve">) и </w:t>
      </w:r>
      <w:r w:rsidR="001F7783">
        <w:rPr>
          <w:rFonts w:ascii="Times New Roman" w:hAnsi="Times New Roman" w:cs="Times New Roman"/>
          <w:color w:val="000000"/>
          <w:sz w:val="24"/>
          <w:szCs w:val="24"/>
          <w:shd w:val="clear" w:color="auto" w:fill="FFFFFF"/>
        </w:rPr>
        <w:t xml:space="preserve">автоматического </w:t>
      </w:r>
      <w:r w:rsidR="00BD698B">
        <w:rPr>
          <w:rFonts w:ascii="Times New Roman" w:hAnsi="Times New Roman" w:cs="Times New Roman"/>
          <w:color w:val="000000"/>
          <w:sz w:val="24"/>
          <w:szCs w:val="24"/>
          <w:shd w:val="clear" w:color="auto" w:fill="FFFFFF"/>
        </w:rPr>
        <w:t xml:space="preserve">измерения </w:t>
      </w:r>
      <w:r w:rsidR="00E82E69">
        <w:rPr>
          <w:rFonts w:ascii="Times New Roman" w:hAnsi="Times New Roman" w:cs="Times New Roman"/>
          <w:color w:val="000000"/>
          <w:sz w:val="24"/>
          <w:szCs w:val="24"/>
          <w:shd w:val="clear" w:color="auto" w:fill="FFFFFF"/>
        </w:rPr>
        <w:t>ГТ</w:t>
      </w:r>
      <w:r w:rsidR="00BD698B">
        <w:rPr>
          <w:rFonts w:ascii="Times New Roman" w:hAnsi="Times New Roman" w:cs="Times New Roman"/>
          <w:color w:val="000000"/>
          <w:sz w:val="24"/>
          <w:szCs w:val="24"/>
          <w:shd w:val="clear" w:color="auto" w:fill="FFFFFF"/>
        </w:rPr>
        <w:t xml:space="preserve"> на </w:t>
      </w:r>
      <w:r w:rsidR="00310599">
        <w:rPr>
          <w:rFonts w:ascii="Times New Roman" w:hAnsi="Times New Roman" w:cs="Times New Roman"/>
          <w:color w:val="000000"/>
          <w:sz w:val="24"/>
          <w:szCs w:val="24"/>
          <w:shd w:val="clear" w:color="auto" w:fill="FFFFFF"/>
        </w:rPr>
        <w:t>коагулометр</w:t>
      </w:r>
      <w:r w:rsidR="00BD698B">
        <w:rPr>
          <w:rFonts w:ascii="Times New Roman" w:hAnsi="Times New Roman" w:cs="Times New Roman"/>
          <w:color w:val="000000"/>
          <w:sz w:val="24"/>
          <w:szCs w:val="24"/>
          <w:shd w:val="clear" w:color="auto" w:fill="FFFFFF"/>
        </w:rPr>
        <w:t>е</w:t>
      </w:r>
      <w:r w:rsidR="00335104" w:rsidRPr="00FE2599">
        <w:rPr>
          <w:rFonts w:ascii="Times New Roman" w:hAnsi="Times New Roman" w:cs="Times New Roman"/>
          <w:color w:val="000000"/>
          <w:sz w:val="24"/>
          <w:szCs w:val="24"/>
          <w:shd w:val="clear" w:color="auto" w:fill="FFFFFF"/>
        </w:rPr>
        <w:t xml:space="preserve"> </w:t>
      </w:r>
      <w:r w:rsidR="00FE2599" w:rsidRPr="00FE2599">
        <w:rPr>
          <w:rFonts w:ascii="Times New Roman" w:hAnsi="Times New Roman" w:cs="Times New Roman"/>
          <w:color w:val="000000"/>
          <w:sz w:val="24"/>
          <w:szCs w:val="24"/>
          <w:shd w:val="clear" w:color="auto" w:fill="FFFFFF"/>
        </w:rPr>
        <w:t>Ceveron Alpha TGA (Technoclone, Австрия)</w:t>
      </w:r>
      <w:r w:rsidR="007F38D4">
        <w:rPr>
          <w:rFonts w:ascii="Times New Roman" w:hAnsi="Times New Roman" w:cs="Times New Roman"/>
          <w:color w:val="000000"/>
          <w:sz w:val="24"/>
          <w:szCs w:val="24"/>
          <w:shd w:val="clear" w:color="auto" w:fill="FFFFFF"/>
        </w:rPr>
        <w:t xml:space="preserve"> (Технология 2)</w:t>
      </w:r>
      <w:r w:rsidR="00FE2599" w:rsidRPr="00FE2599">
        <w:rPr>
          <w:rFonts w:ascii="Times New Roman" w:hAnsi="Times New Roman" w:cs="Times New Roman"/>
          <w:color w:val="000000"/>
          <w:sz w:val="24"/>
          <w:szCs w:val="24"/>
          <w:shd w:val="clear" w:color="auto" w:fill="FFFFFF"/>
        </w:rPr>
        <w:t xml:space="preserve">. </w:t>
      </w:r>
      <w:r w:rsidR="007F38D4">
        <w:rPr>
          <w:rFonts w:ascii="Times New Roman" w:hAnsi="Times New Roman" w:cs="Times New Roman"/>
          <w:color w:val="000000"/>
          <w:sz w:val="24"/>
          <w:szCs w:val="24"/>
          <w:shd w:val="clear" w:color="auto" w:fill="FFFFFF"/>
        </w:rPr>
        <w:t>Р</w:t>
      </w:r>
      <w:r w:rsidR="00FE2599" w:rsidRPr="00FE2599">
        <w:rPr>
          <w:rFonts w:ascii="Times New Roman" w:hAnsi="Times New Roman" w:cs="Times New Roman"/>
          <w:color w:val="000000"/>
          <w:sz w:val="24"/>
          <w:szCs w:val="24"/>
          <w:shd w:val="clear" w:color="auto" w:fill="FFFFFF"/>
        </w:rPr>
        <w:t xml:space="preserve">ассчитывались </w:t>
      </w:r>
      <w:r w:rsidR="001039BB">
        <w:rPr>
          <w:rFonts w:ascii="Times New Roman" w:hAnsi="Times New Roman" w:cs="Times New Roman"/>
          <w:color w:val="000000"/>
          <w:sz w:val="24"/>
          <w:szCs w:val="24"/>
          <w:shd w:val="clear" w:color="auto" w:fill="FFFFFF"/>
        </w:rPr>
        <w:t xml:space="preserve">стандартные показатели ТГТ. </w:t>
      </w:r>
      <w:r w:rsidR="00FE2599">
        <w:rPr>
          <w:rFonts w:ascii="Times New Roman" w:hAnsi="Times New Roman" w:cs="Times New Roman"/>
          <w:color w:val="000000"/>
          <w:sz w:val="24"/>
          <w:szCs w:val="24"/>
          <w:shd w:val="clear" w:color="auto" w:fill="FFFFFF"/>
        </w:rPr>
        <w:t xml:space="preserve">Полученные результаты нормировались относительно </w:t>
      </w:r>
      <w:r w:rsidR="007F38D4">
        <w:rPr>
          <w:rFonts w:ascii="Times New Roman" w:hAnsi="Times New Roman" w:cs="Times New Roman"/>
          <w:color w:val="000000"/>
          <w:sz w:val="24"/>
          <w:szCs w:val="24"/>
          <w:shd w:val="clear" w:color="auto" w:fill="FFFFFF"/>
        </w:rPr>
        <w:t>пулированной нормальной плазмы (</w:t>
      </w:r>
      <w:r w:rsidR="007F38D4" w:rsidRPr="006968C3">
        <w:rPr>
          <w:rFonts w:ascii="Times New Roman" w:hAnsi="Times New Roman" w:cs="Times New Roman"/>
          <w:color w:val="000000"/>
          <w:sz w:val="24"/>
          <w:szCs w:val="24"/>
          <w:shd w:val="clear" w:color="auto" w:fill="FFFFFF"/>
        </w:rPr>
        <w:t>ПНП)</w:t>
      </w:r>
      <w:r w:rsidR="00FE2599" w:rsidRPr="00FE2599">
        <w:rPr>
          <w:rFonts w:ascii="Times New Roman" w:hAnsi="Times New Roman" w:cs="Times New Roman"/>
          <w:color w:val="000000"/>
          <w:sz w:val="24"/>
          <w:szCs w:val="24"/>
          <w:shd w:val="clear" w:color="auto" w:fill="FFFFFF"/>
        </w:rPr>
        <w:t>.</w:t>
      </w:r>
      <w:r w:rsidR="001F7783">
        <w:rPr>
          <w:rFonts w:ascii="Times New Roman" w:hAnsi="Times New Roman" w:cs="Times New Roman"/>
          <w:color w:val="000000"/>
          <w:sz w:val="24"/>
          <w:szCs w:val="24"/>
          <w:shd w:val="clear" w:color="auto" w:fill="FFFFFF"/>
        </w:rPr>
        <w:t xml:space="preserve"> </w:t>
      </w:r>
      <w:r w:rsidRPr="00671113">
        <w:rPr>
          <w:rFonts w:ascii="Times New Roman" w:hAnsi="Times New Roman" w:cs="Times New Roman"/>
          <w:b/>
          <w:color w:val="000000"/>
          <w:sz w:val="24"/>
          <w:szCs w:val="24"/>
          <w:shd w:val="clear" w:color="auto" w:fill="FFFFFF"/>
        </w:rPr>
        <w:t>Результаты</w:t>
      </w:r>
      <w:r>
        <w:rPr>
          <w:rFonts w:ascii="Times New Roman" w:hAnsi="Times New Roman" w:cs="Times New Roman"/>
          <w:color w:val="000000"/>
          <w:sz w:val="24"/>
          <w:szCs w:val="24"/>
          <w:shd w:val="clear" w:color="auto" w:fill="FFFFFF"/>
        </w:rPr>
        <w:t>.</w:t>
      </w:r>
      <w:r w:rsidRPr="00671113">
        <w:t xml:space="preserve"> </w:t>
      </w:r>
      <w:r w:rsidR="00FC3D18" w:rsidRPr="00FE2599">
        <w:rPr>
          <w:rFonts w:ascii="Times New Roman" w:hAnsi="Times New Roman" w:cs="Times New Roman"/>
          <w:sz w:val="24"/>
          <w:szCs w:val="24"/>
        </w:rPr>
        <w:t>Параметры тромбограммы показали высок</w:t>
      </w:r>
      <w:r w:rsidR="00362EE1">
        <w:rPr>
          <w:rFonts w:ascii="Times New Roman" w:hAnsi="Times New Roman" w:cs="Times New Roman"/>
          <w:sz w:val="24"/>
          <w:szCs w:val="24"/>
        </w:rPr>
        <w:t>ий</w:t>
      </w:r>
      <w:r w:rsidR="00FC3D18" w:rsidRPr="00FE2599">
        <w:rPr>
          <w:rFonts w:ascii="Times New Roman" w:hAnsi="Times New Roman" w:cs="Times New Roman"/>
          <w:sz w:val="24"/>
          <w:szCs w:val="24"/>
        </w:rPr>
        <w:t xml:space="preserve"> </w:t>
      </w:r>
      <w:r w:rsidR="00A42275">
        <w:rPr>
          <w:rFonts w:ascii="Times New Roman" w:hAnsi="Times New Roman" w:cs="Times New Roman"/>
          <w:sz w:val="24"/>
          <w:szCs w:val="24"/>
          <w:lang w:val="en-US"/>
        </w:rPr>
        <w:t>CVG</w:t>
      </w:r>
      <w:r w:rsidR="00BD14AA">
        <w:rPr>
          <w:rFonts w:ascii="Times New Roman" w:hAnsi="Times New Roman" w:cs="Times New Roman"/>
          <w:sz w:val="24"/>
          <w:szCs w:val="24"/>
        </w:rPr>
        <w:t xml:space="preserve"> </w:t>
      </w:r>
      <w:r w:rsidR="00BD14AA" w:rsidRPr="00BD14AA">
        <w:rPr>
          <w:rFonts w:ascii="Times New Roman" w:hAnsi="Times New Roman" w:cs="Times New Roman"/>
          <w:sz w:val="24"/>
          <w:szCs w:val="24"/>
        </w:rPr>
        <w:t>(</w:t>
      </w:r>
      <w:r w:rsidR="00BD14AA">
        <w:rPr>
          <w:rFonts w:ascii="Times New Roman" w:hAnsi="Times New Roman" w:cs="Times New Roman"/>
          <w:sz w:val="24"/>
          <w:szCs w:val="24"/>
        </w:rPr>
        <w:t>коэффициент межиндивидуальной вариаци</w:t>
      </w:r>
      <w:r w:rsidR="00BD14AA" w:rsidRPr="006F6CCC">
        <w:rPr>
          <w:rFonts w:ascii="Times New Roman" w:hAnsi="Times New Roman" w:cs="Times New Roman"/>
          <w:sz w:val="24"/>
          <w:szCs w:val="24"/>
        </w:rPr>
        <w:t>и)</w:t>
      </w:r>
      <w:r w:rsidR="00DE6319" w:rsidRPr="006F6CCC">
        <w:rPr>
          <w:rFonts w:ascii="Times New Roman" w:hAnsi="Times New Roman" w:cs="Times New Roman"/>
          <w:sz w:val="24"/>
          <w:szCs w:val="24"/>
        </w:rPr>
        <w:t>:</w:t>
      </w:r>
      <w:r w:rsidR="00FC3D18" w:rsidRPr="00FE2599">
        <w:rPr>
          <w:rFonts w:ascii="Times New Roman" w:hAnsi="Times New Roman" w:cs="Times New Roman"/>
          <w:sz w:val="24"/>
          <w:szCs w:val="24"/>
        </w:rPr>
        <w:t xml:space="preserve"> от </w:t>
      </w:r>
      <w:r w:rsidR="00FC3D18" w:rsidRPr="00485DE7">
        <w:rPr>
          <w:rFonts w:ascii="Times New Roman" w:hAnsi="Times New Roman" w:cs="Times New Roman"/>
          <w:sz w:val="24"/>
          <w:szCs w:val="24"/>
        </w:rPr>
        <w:t>14 до 32% для Технологии 1 и от 7 до 36% для Технологии 2.</w:t>
      </w:r>
      <w:r w:rsidR="00FC3D18" w:rsidRPr="00FE2599">
        <w:rPr>
          <w:rFonts w:ascii="Times New Roman" w:hAnsi="Times New Roman" w:cs="Times New Roman"/>
          <w:sz w:val="24"/>
          <w:szCs w:val="24"/>
        </w:rPr>
        <w:t xml:space="preserve"> </w:t>
      </w:r>
      <w:r w:rsidR="00A42275">
        <w:rPr>
          <w:rFonts w:ascii="Times New Roman" w:hAnsi="Times New Roman" w:cs="Times New Roman"/>
          <w:sz w:val="24"/>
          <w:szCs w:val="24"/>
          <w:lang w:val="en-US"/>
        </w:rPr>
        <w:t>CVG</w:t>
      </w:r>
      <w:r w:rsidR="00FC3D18" w:rsidRPr="00FE2599">
        <w:rPr>
          <w:rFonts w:ascii="Times New Roman" w:hAnsi="Times New Roman" w:cs="Times New Roman"/>
          <w:sz w:val="24"/>
          <w:szCs w:val="24"/>
        </w:rPr>
        <w:t xml:space="preserve"> значимо не менялся после нормализации</w:t>
      </w:r>
      <w:r w:rsidR="00FC3D18">
        <w:rPr>
          <w:rFonts w:ascii="Times New Roman" w:hAnsi="Times New Roman" w:cs="Times New Roman"/>
          <w:sz w:val="24"/>
          <w:szCs w:val="24"/>
        </w:rPr>
        <w:t xml:space="preserve"> данных ТГТ</w:t>
      </w:r>
      <w:r w:rsidR="00FC3D18" w:rsidRPr="00FE2599">
        <w:rPr>
          <w:rFonts w:ascii="Times New Roman" w:hAnsi="Times New Roman" w:cs="Times New Roman"/>
          <w:sz w:val="24"/>
          <w:szCs w:val="24"/>
        </w:rPr>
        <w:t xml:space="preserve">. </w:t>
      </w:r>
      <w:r w:rsidR="00FC3D18">
        <w:rPr>
          <w:rFonts w:ascii="Times New Roman" w:hAnsi="Times New Roman" w:cs="Times New Roman"/>
          <w:sz w:val="24"/>
          <w:szCs w:val="24"/>
        </w:rPr>
        <w:t>Отмечены</w:t>
      </w:r>
      <w:r w:rsidR="00AE6BA8" w:rsidRPr="00AE6BA8">
        <w:rPr>
          <w:rFonts w:ascii="Times New Roman" w:hAnsi="Times New Roman" w:cs="Times New Roman"/>
          <w:sz w:val="24"/>
          <w:szCs w:val="24"/>
        </w:rPr>
        <w:t xml:space="preserve"> значимые</w:t>
      </w:r>
      <w:r w:rsidR="00A15614" w:rsidRPr="00AE6BA8">
        <w:rPr>
          <w:rFonts w:ascii="Times New Roman" w:hAnsi="Times New Roman" w:cs="Times New Roman"/>
          <w:sz w:val="24"/>
          <w:szCs w:val="24"/>
        </w:rPr>
        <w:t xml:space="preserve"> различия</w:t>
      </w:r>
      <w:r w:rsidR="00AE6BA8" w:rsidRPr="00AE6BA8">
        <w:rPr>
          <w:rFonts w:ascii="Times New Roman" w:hAnsi="Times New Roman" w:cs="Times New Roman"/>
          <w:sz w:val="24"/>
          <w:szCs w:val="24"/>
        </w:rPr>
        <w:t xml:space="preserve"> </w:t>
      </w:r>
      <w:r w:rsidR="00FC3D18">
        <w:rPr>
          <w:rFonts w:ascii="Times New Roman" w:hAnsi="Times New Roman" w:cs="Times New Roman"/>
          <w:sz w:val="24"/>
          <w:szCs w:val="24"/>
        </w:rPr>
        <w:t>ключевого показателя</w:t>
      </w:r>
      <w:r w:rsidR="00AE6BA8" w:rsidRPr="00AE6BA8">
        <w:rPr>
          <w:rFonts w:ascii="Times New Roman" w:hAnsi="Times New Roman" w:cs="Times New Roman"/>
          <w:sz w:val="24"/>
          <w:szCs w:val="24"/>
        </w:rPr>
        <w:t xml:space="preserve"> ЕТР </w:t>
      </w:r>
      <w:r w:rsidR="00BD14AA">
        <w:rPr>
          <w:rFonts w:ascii="Times New Roman" w:hAnsi="Times New Roman" w:cs="Times New Roman"/>
          <w:sz w:val="24"/>
          <w:szCs w:val="24"/>
        </w:rPr>
        <w:t xml:space="preserve">(эндогенный тромбиновый потенциал) </w:t>
      </w:r>
      <w:r w:rsidR="00AE6BA8" w:rsidRPr="00AE6BA8">
        <w:rPr>
          <w:rFonts w:ascii="Times New Roman" w:hAnsi="Times New Roman" w:cs="Times New Roman"/>
          <w:sz w:val="24"/>
          <w:szCs w:val="24"/>
        </w:rPr>
        <w:t>как в абсолютных, так и нормализованных значениях.</w:t>
      </w:r>
      <w:r w:rsidR="006F6CCC">
        <w:t xml:space="preserve"> </w:t>
      </w:r>
      <w:r w:rsidR="00516E0D">
        <w:rPr>
          <w:rFonts w:ascii="Times New Roman" w:hAnsi="Times New Roman" w:cs="Times New Roman"/>
          <w:sz w:val="24"/>
          <w:szCs w:val="24"/>
        </w:rPr>
        <w:t>Референтные интервалы (</w:t>
      </w:r>
      <w:r w:rsidR="00FC3D18" w:rsidRPr="00BD14AA">
        <w:rPr>
          <w:rFonts w:ascii="Times New Roman" w:hAnsi="Times New Roman" w:cs="Times New Roman"/>
          <w:sz w:val="24"/>
          <w:szCs w:val="24"/>
        </w:rPr>
        <w:t>РИ</w:t>
      </w:r>
      <w:r w:rsidR="00516E0D">
        <w:rPr>
          <w:rFonts w:ascii="Times New Roman" w:hAnsi="Times New Roman" w:cs="Times New Roman"/>
          <w:sz w:val="24"/>
          <w:szCs w:val="24"/>
        </w:rPr>
        <w:t>)</w:t>
      </w:r>
      <w:r w:rsidR="00FC3D18">
        <w:rPr>
          <w:rFonts w:ascii="Times New Roman" w:hAnsi="Times New Roman" w:cs="Times New Roman"/>
          <w:sz w:val="24"/>
          <w:szCs w:val="24"/>
        </w:rPr>
        <w:t xml:space="preserve"> </w:t>
      </w:r>
      <w:r w:rsidR="00362EE1">
        <w:rPr>
          <w:rFonts w:ascii="Times New Roman" w:hAnsi="Times New Roman" w:cs="Times New Roman"/>
          <w:sz w:val="24"/>
          <w:szCs w:val="24"/>
        </w:rPr>
        <w:t>для Т</w:t>
      </w:r>
      <w:r w:rsidR="00BD14AA">
        <w:rPr>
          <w:rFonts w:ascii="Times New Roman" w:hAnsi="Times New Roman" w:cs="Times New Roman"/>
          <w:sz w:val="24"/>
          <w:szCs w:val="24"/>
        </w:rPr>
        <w:t xml:space="preserve">ехнологии 1 составили: </w:t>
      </w:r>
      <w:r w:rsidR="00CA33DE">
        <w:rPr>
          <w:rFonts w:ascii="Times New Roman" w:hAnsi="Times New Roman" w:cs="Times New Roman"/>
          <w:sz w:val="24"/>
          <w:szCs w:val="24"/>
        </w:rPr>
        <w:t>ЕТР 1478,0-2595,0 нмоль/</w:t>
      </w:r>
      <w:r w:rsidR="00362EE1">
        <w:rPr>
          <w:rFonts w:ascii="Times New Roman" w:hAnsi="Times New Roman" w:cs="Times New Roman"/>
          <w:sz w:val="24"/>
          <w:szCs w:val="24"/>
        </w:rPr>
        <w:t>мин и пиковая концентрация тромбина (</w:t>
      </w:r>
      <w:r w:rsidR="00362EE1">
        <w:rPr>
          <w:rFonts w:ascii="Times New Roman" w:hAnsi="Times New Roman" w:cs="Times New Roman"/>
          <w:sz w:val="24"/>
          <w:szCs w:val="24"/>
          <w:lang w:val="en-US"/>
        </w:rPr>
        <w:t>Peak</w:t>
      </w:r>
      <w:r w:rsidR="00362EE1" w:rsidRPr="00362EE1">
        <w:rPr>
          <w:rFonts w:ascii="Times New Roman" w:hAnsi="Times New Roman" w:cs="Times New Roman"/>
          <w:sz w:val="24"/>
          <w:szCs w:val="24"/>
        </w:rPr>
        <w:t xml:space="preserve"> </w:t>
      </w:r>
      <w:r w:rsidR="00362EE1">
        <w:rPr>
          <w:rFonts w:ascii="Times New Roman" w:hAnsi="Times New Roman" w:cs="Times New Roman"/>
          <w:sz w:val="24"/>
          <w:szCs w:val="24"/>
          <w:lang w:val="en-US"/>
        </w:rPr>
        <w:t>thr</w:t>
      </w:r>
      <w:r w:rsidR="00362EE1" w:rsidRPr="00362EE1">
        <w:rPr>
          <w:rFonts w:ascii="Times New Roman" w:hAnsi="Times New Roman" w:cs="Times New Roman"/>
          <w:sz w:val="24"/>
          <w:szCs w:val="24"/>
        </w:rPr>
        <w:t>.</w:t>
      </w:r>
      <w:r w:rsidR="00362EE1">
        <w:rPr>
          <w:rFonts w:ascii="Times New Roman" w:hAnsi="Times New Roman" w:cs="Times New Roman"/>
          <w:sz w:val="24"/>
          <w:szCs w:val="24"/>
        </w:rPr>
        <w:t xml:space="preserve">) </w:t>
      </w:r>
      <w:r w:rsidR="00362EE1" w:rsidRPr="00362EE1">
        <w:rPr>
          <w:rFonts w:ascii="Times New Roman" w:hAnsi="Times New Roman" w:cs="Times New Roman"/>
          <w:sz w:val="24"/>
          <w:szCs w:val="24"/>
        </w:rPr>
        <w:t xml:space="preserve">221,6-412,0 </w:t>
      </w:r>
      <w:r w:rsidR="00CA33DE">
        <w:rPr>
          <w:rFonts w:ascii="Times New Roman" w:hAnsi="Times New Roman" w:cs="Times New Roman"/>
          <w:sz w:val="24"/>
          <w:szCs w:val="24"/>
        </w:rPr>
        <w:t>нмоль</w:t>
      </w:r>
      <w:r w:rsidR="00362EE1">
        <w:rPr>
          <w:rFonts w:ascii="Times New Roman" w:hAnsi="Times New Roman" w:cs="Times New Roman"/>
          <w:sz w:val="24"/>
          <w:szCs w:val="24"/>
        </w:rPr>
        <w:t xml:space="preserve">. РИ для Технологии 2: ЕТР </w:t>
      </w:r>
      <w:r w:rsidR="00362EE1" w:rsidRPr="00362EE1">
        <w:rPr>
          <w:rFonts w:ascii="Times New Roman" w:hAnsi="Times New Roman" w:cs="Times New Roman"/>
          <w:sz w:val="24"/>
          <w:szCs w:val="24"/>
        </w:rPr>
        <w:t>2451,00-3161,00</w:t>
      </w:r>
      <w:r w:rsidR="00CA33DE">
        <w:rPr>
          <w:rFonts w:ascii="Times New Roman" w:hAnsi="Times New Roman" w:cs="Times New Roman"/>
          <w:sz w:val="24"/>
          <w:szCs w:val="24"/>
        </w:rPr>
        <w:t xml:space="preserve"> нмоль/</w:t>
      </w:r>
      <w:r w:rsidR="00362EE1">
        <w:rPr>
          <w:rFonts w:ascii="Times New Roman" w:hAnsi="Times New Roman" w:cs="Times New Roman"/>
          <w:sz w:val="24"/>
          <w:szCs w:val="24"/>
        </w:rPr>
        <w:t xml:space="preserve">мин и </w:t>
      </w:r>
      <w:r w:rsidR="00362EE1">
        <w:rPr>
          <w:rFonts w:ascii="Times New Roman" w:hAnsi="Times New Roman" w:cs="Times New Roman"/>
          <w:sz w:val="24"/>
          <w:szCs w:val="24"/>
          <w:lang w:val="en-US"/>
        </w:rPr>
        <w:t>Peak</w:t>
      </w:r>
      <w:r w:rsidR="00362EE1" w:rsidRPr="00362EE1">
        <w:rPr>
          <w:rFonts w:ascii="Times New Roman" w:hAnsi="Times New Roman" w:cs="Times New Roman"/>
          <w:sz w:val="24"/>
          <w:szCs w:val="24"/>
        </w:rPr>
        <w:t xml:space="preserve"> </w:t>
      </w:r>
      <w:r w:rsidR="00362EE1">
        <w:rPr>
          <w:rFonts w:ascii="Times New Roman" w:hAnsi="Times New Roman" w:cs="Times New Roman"/>
          <w:sz w:val="24"/>
          <w:szCs w:val="24"/>
          <w:lang w:val="en-US"/>
        </w:rPr>
        <w:t>thr</w:t>
      </w:r>
      <w:r w:rsidR="00362EE1" w:rsidRPr="00362EE1">
        <w:rPr>
          <w:rFonts w:ascii="Times New Roman" w:hAnsi="Times New Roman" w:cs="Times New Roman"/>
          <w:sz w:val="24"/>
          <w:szCs w:val="24"/>
        </w:rPr>
        <w:t xml:space="preserve">. 161,60-479,30 </w:t>
      </w:r>
      <w:r w:rsidR="00CA33DE">
        <w:rPr>
          <w:rFonts w:ascii="Times New Roman" w:hAnsi="Times New Roman" w:cs="Times New Roman"/>
          <w:sz w:val="24"/>
          <w:szCs w:val="24"/>
        </w:rPr>
        <w:t>нмоль</w:t>
      </w:r>
      <w:r w:rsidR="00362EE1">
        <w:rPr>
          <w:rFonts w:ascii="Times New Roman" w:hAnsi="Times New Roman" w:cs="Times New Roman"/>
          <w:sz w:val="24"/>
          <w:szCs w:val="24"/>
        </w:rPr>
        <w:t>.</w:t>
      </w:r>
      <w:r w:rsidR="00362EE1" w:rsidRPr="00362EE1">
        <w:rPr>
          <w:rFonts w:ascii="Times New Roman" w:hAnsi="Times New Roman" w:cs="Times New Roman"/>
          <w:sz w:val="24"/>
          <w:szCs w:val="24"/>
        </w:rPr>
        <w:t xml:space="preserve"> </w:t>
      </w:r>
      <w:r w:rsidRPr="00FE2599">
        <w:rPr>
          <w:rFonts w:ascii="Times New Roman" w:hAnsi="Times New Roman" w:cs="Times New Roman"/>
          <w:b/>
          <w:color w:val="000000"/>
          <w:sz w:val="24"/>
          <w:szCs w:val="24"/>
          <w:shd w:val="clear" w:color="auto" w:fill="FFFFFF"/>
        </w:rPr>
        <w:t xml:space="preserve">Заключение. </w:t>
      </w:r>
      <w:r w:rsidR="00B10E48" w:rsidRPr="00FE2599">
        <w:rPr>
          <w:rFonts w:ascii="Times New Roman" w:hAnsi="Times New Roman" w:cs="Times New Roman"/>
          <w:color w:val="000000"/>
          <w:sz w:val="24"/>
          <w:szCs w:val="24"/>
          <w:shd w:val="clear" w:color="auto" w:fill="FFFFFF"/>
        </w:rPr>
        <w:t xml:space="preserve">Сравнение двух </w:t>
      </w:r>
      <w:r w:rsidR="00B10E48">
        <w:rPr>
          <w:rFonts w:ascii="Times New Roman" w:hAnsi="Times New Roman" w:cs="Times New Roman"/>
          <w:color w:val="000000"/>
          <w:sz w:val="24"/>
          <w:szCs w:val="24"/>
          <w:shd w:val="clear" w:color="auto" w:fill="FFFFFF"/>
        </w:rPr>
        <w:t>лабораторных технологий ТГТ</w:t>
      </w:r>
      <w:r w:rsidR="00B10E48" w:rsidRPr="00FE2599">
        <w:rPr>
          <w:rFonts w:ascii="Times New Roman" w:hAnsi="Times New Roman" w:cs="Times New Roman"/>
          <w:color w:val="000000"/>
          <w:sz w:val="24"/>
          <w:szCs w:val="24"/>
          <w:shd w:val="clear" w:color="auto" w:fill="FFFFFF"/>
        </w:rPr>
        <w:t xml:space="preserve"> </w:t>
      </w:r>
      <w:r w:rsidR="00A020B9">
        <w:rPr>
          <w:rFonts w:ascii="Times New Roman" w:hAnsi="Times New Roman" w:cs="Times New Roman"/>
          <w:color w:val="000000"/>
          <w:sz w:val="24"/>
          <w:szCs w:val="24"/>
          <w:shd w:val="clear" w:color="auto" w:fill="FFFFFF"/>
        </w:rPr>
        <w:t xml:space="preserve">демонстрирует высокие </w:t>
      </w:r>
      <w:r w:rsidR="00B10E48">
        <w:rPr>
          <w:rFonts w:ascii="Times New Roman" w:hAnsi="Times New Roman" w:cs="Times New Roman"/>
          <w:color w:val="000000"/>
          <w:sz w:val="24"/>
          <w:szCs w:val="24"/>
          <w:shd w:val="clear" w:color="auto" w:fill="FFFFFF"/>
        </w:rPr>
        <w:t>результаты</w:t>
      </w:r>
      <w:r w:rsidR="00B10E48" w:rsidRPr="00FE2599">
        <w:rPr>
          <w:rFonts w:ascii="Times New Roman" w:hAnsi="Times New Roman" w:cs="Times New Roman"/>
          <w:color w:val="000000"/>
          <w:sz w:val="24"/>
          <w:szCs w:val="24"/>
          <w:shd w:val="clear" w:color="auto" w:fill="FFFFFF"/>
        </w:rPr>
        <w:t xml:space="preserve"> межиндивидуальн</w:t>
      </w:r>
      <w:r w:rsidR="00B10E48">
        <w:rPr>
          <w:rFonts w:ascii="Times New Roman" w:hAnsi="Times New Roman" w:cs="Times New Roman"/>
          <w:color w:val="000000"/>
          <w:sz w:val="24"/>
          <w:szCs w:val="24"/>
          <w:shd w:val="clear" w:color="auto" w:fill="FFFFFF"/>
        </w:rPr>
        <w:t>ой</w:t>
      </w:r>
      <w:r w:rsidR="00B10E48" w:rsidRPr="00FE2599">
        <w:rPr>
          <w:rFonts w:ascii="Times New Roman" w:hAnsi="Times New Roman" w:cs="Times New Roman"/>
          <w:color w:val="000000"/>
          <w:sz w:val="24"/>
          <w:szCs w:val="24"/>
          <w:shd w:val="clear" w:color="auto" w:fill="FFFFFF"/>
        </w:rPr>
        <w:t xml:space="preserve"> </w:t>
      </w:r>
      <w:r w:rsidR="00B10E48" w:rsidRPr="00FE2599">
        <w:rPr>
          <w:rFonts w:ascii="Times New Roman" w:hAnsi="Times New Roman" w:cs="Times New Roman"/>
          <w:color w:val="000000"/>
          <w:sz w:val="24"/>
          <w:szCs w:val="24"/>
          <w:shd w:val="clear" w:color="auto" w:fill="FFFFFF"/>
        </w:rPr>
        <w:lastRenderedPageBreak/>
        <w:t>вариаци</w:t>
      </w:r>
      <w:r w:rsidR="00B10E48">
        <w:rPr>
          <w:rFonts w:ascii="Times New Roman" w:hAnsi="Times New Roman" w:cs="Times New Roman"/>
          <w:color w:val="000000"/>
          <w:sz w:val="24"/>
          <w:szCs w:val="24"/>
          <w:shd w:val="clear" w:color="auto" w:fill="FFFFFF"/>
        </w:rPr>
        <w:t xml:space="preserve">и. При этом </w:t>
      </w:r>
      <w:r w:rsidR="00A42275">
        <w:rPr>
          <w:rFonts w:ascii="Times New Roman" w:hAnsi="Times New Roman" w:cs="Times New Roman"/>
          <w:color w:val="000000"/>
          <w:sz w:val="24"/>
          <w:szCs w:val="24"/>
          <w:shd w:val="clear" w:color="auto" w:fill="FFFFFF"/>
          <w:lang w:val="en-US"/>
        </w:rPr>
        <w:t>CVG</w:t>
      </w:r>
      <w:r w:rsidR="00B10E48">
        <w:rPr>
          <w:rFonts w:ascii="Times New Roman" w:hAnsi="Times New Roman" w:cs="Times New Roman"/>
          <w:color w:val="000000"/>
          <w:sz w:val="24"/>
          <w:szCs w:val="24"/>
          <w:shd w:val="clear" w:color="auto" w:fill="FFFFFF"/>
        </w:rPr>
        <w:t xml:space="preserve"> показателя ЕТР на приборе </w:t>
      </w:r>
      <w:r w:rsidR="00B10E48" w:rsidRPr="00FE2599">
        <w:rPr>
          <w:rFonts w:ascii="Times New Roman" w:hAnsi="Times New Roman" w:cs="Times New Roman"/>
          <w:color w:val="000000"/>
          <w:sz w:val="24"/>
          <w:szCs w:val="24"/>
          <w:shd w:val="clear" w:color="auto" w:fill="FFFFFF"/>
        </w:rPr>
        <w:t>Ceveron Alpha TGA</w:t>
      </w:r>
      <w:r w:rsidR="00B10E48">
        <w:rPr>
          <w:rFonts w:ascii="Times New Roman" w:hAnsi="Times New Roman" w:cs="Times New Roman"/>
          <w:color w:val="000000"/>
          <w:sz w:val="24"/>
          <w:szCs w:val="24"/>
          <w:shd w:val="clear" w:color="auto" w:fill="FFFFFF"/>
        </w:rPr>
        <w:t xml:space="preserve"> в два раза ниже, чем </w:t>
      </w:r>
      <w:r w:rsidR="00BD698B">
        <w:rPr>
          <w:rFonts w:ascii="Times New Roman" w:hAnsi="Times New Roman" w:cs="Times New Roman"/>
          <w:color w:val="000000"/>
          <w:sz w:val="24"/>
          <w:szCs w:val="24"/>
          <w:shd w:val="clear" w:color="auto" w:fill="FFFFFF"/>
        </w:rPr>
        <w:t>на полуавтоматическом флуориметре</w:t>
      </w:r>
      <w:r w:rsidR="00B10E48">
        <w:rPr>
          <w:rFonts w:ascii="Times New Roman" w:hAnsi="Times New Roman" w:cs="Times New Roman"/>
          <w:color w:val="000000"/>
          <w:sz w:val="24"/>
          <w:szCs w:val="24"/>
          <w:shd w:val="clear" w:color="auto" w:fill="FFFFFF"/>
        </w:rPr>
        <w:t xml:space="preserve">. </w:t>
      </w:r>
      <w:r w:rsidR="00A15614">
        <w:rPr>
          <w:rFonts w:ascii="Times New Roman" w:hAnsi="Times New Roman" w:cs="Times New Roman"/>
          <w:color w:val="000000"/>
          <w:sz w:val="24"/>
          <w:szCs w:val="24"/>
          <w:shd w:val="clear" w:color="auto" w:fill="FFFFFF"/>
        </w:rPr>
        <w:t xml:space="preserve">В связи с различиями в </w:t>
      </w:r>
      <w:r w:rsidR="003D782C">
        <w:rPr>
          <w:rFonts w:ascii="Times New Roman" w:hAnsi="Times New Roman" w:cs="Times New Roman"/>
          <w:color w:val="000000"/>
          <w:sz w:val="24"/>
          <w:szCs w:val="24"/>
          <w:shd w:val="clear" w:color="auto" w:fill="FFFFFF"/>
        </w:rPr>
        <w:t>методиках</w:t>
      </w:r>
      <w:r w:rsidR="003D782C" w:rsidRPr="003D782C">
        <w:rPr>
          <w:rFonts w:ascii="Times New Roman" w:hAnsi="Times New Roman" w:cs="Times New Roman"/>
          <w:color w:val="000000"/>
          <w:sz w:val="24"/>
          <w:szCs w:val="24"/>
          <w:shd w:val="clear" w:color="auto" w:fill="FFFFFF"/>
        </w:rPr>
        <w:t xml:space="preserve"> </w:t>
      </w:r>
      <w:r w:rsidR="00A15614">
        <w:rPr>
          <w:rFonts w:ascii="Times New Roman" w:hAnsi="Times New Roman" w:cs="Times New Roman"/>
          <w:color w:val="000000"/>
          <w:sz w:val="24"/>
          <w:szCs w:val="24"/>
          <w:shd w:val="clear" w:color="auto" w:fill="FFFFFF"/>
        </w:rPr>
        <w:t>постановк</w:t>
      </w:r>
      <w:r w:rsidR="003D782C">
        <w:rPr>
          <w:rFonts w:ascii="Times New Roman" w:hAnsi="Times New Roman" w:cs="Times New Roman"/>
          <w:color w:val="000000"/>
          <w:sz w:val="24"/>
          <w:szCs w:val="24"/>
          <w:shd w:val="clear" w:color="auto" w:fill="FFFFFF"/>
        </w:rPr>
        <w:t>и</w:t>
      </w:r>
      <w:r w:rsidR="00A15614">
        <w:rPr>
          <w:rFonts w:ascii="Times New Roman" w:hAnsi="Times New Roman" w:cs="Times New Roman"/>
          <w:color w:val="000000"/>
          <w:sz w:val="24"/>
          <w:szCs w:val="24"/>
          <w:shd w:val="clear" w:color="auto" w:fill="FFFFFF"/>
        </w:rPr>
        <w:t xml:space="preserve"> ТГТ</w:t>
      </w:r>
      <w:r w:rsidR="003D782C">
        <w:rPr>
          <w:rFonts w:ascii="Times New Roman" w:hAnsi="Times New Roman" w:cs="Times New Roman"/>
          <w:color w:val="000000"/>
          <w:sz w:val="24"/>
          <w:szCs w:val="24"/>
          <w:shd w:val="clear" w:color="auto" w:fill="FFFFFF"/>
        </w:rPr>
        <w:t>,</w:t>
      </w:r>
      <w:r w:rsidR="00A15614">
        <w:rPr>
          <w:rFonts w:ascii="Times New Roman" w:hAnsi="Times New Roman" w:cs="Times New Roman"/>
          <w:color w:val="000000"/>
          <w:sz w:val="24"/>
          <w:szCs w:val="24"/>
          <w:shd w:val="clear" w:color="auto" w:fill="FFFFFF"/>
        </w:rPr>
        <w:t xml:space="preserve"> </w:t>
      </w:r>
      <w:r w:rsidR="00B10E48">
        <w:rPr>
          <w:rFonts w:ascii="Times New Roman" w:hAnsi="Times New Roman" w:cs="Times New Roman"/>
          <w:color w:val="000000"/>
          <w:sz w:val="24"/>
          <w:szCs w:val="24"/>
          <w:shd w:val="clear" w:color="auto" w:fill="FFFFFF"/>
        </w:rPr>
        <w:t>абсолютные значения отдельных параметров</w:t>
      </w:r>
      <w:r w:rsidR="00A15614">
        <w:rPr>
          <w:rFonts w:ascii="Times New Roman" w:hAnsi="Times New Roman" w:cs="Times New Roman"/>
          <w:color w:val="000000"/>
          <w:sz w:val="24"/>
          <w:szCs w:val="24"/>
          <w:shd w:val="clear" w:color="auto" w:fill="FFFFFF"/>
        </w:rPr>
        <w:t xml:space="preserve"> </w:t>
      </w:r>
      <w:r w:rsidR="003D782C">
        <w:rPr>
          <w:rFonts w:ascii="Times New Roman" w:hAnsi="Times New Roman" w:cs="Times New Roman"/>
          <w:color w:val="000000"/>
          <w:sz w:val="24"/>
          <w:szCs w:val="24"/>
          <w:shd w:val="clear" w:color="auto" w:fill="FFFFFF"/>
        </w:rPr>
        <w:t xml:space="preserve">статистически значимо </w:t>
      </w:r>
      <w:r w:rsidR="00A15614">
        <w:rPr>
          <w:rFonts w:ascii="Times New Roman" w:hAnsi="Times New Roman" w:cs="Times New Roman"/>
          <w:color w:val="000000"/>
          <w:sz w:val="24"/>
          <w:szCs w:val="24"/>
          <w:shd w:val="clear" w:color="auto" w:fill="FFFFFF"/>
        </w:rPr>
        <w:t xml:space="preserve">различаются </w:t>
      </w:r>
      <w:r w:rsidR="00B10E48">
        <w:rPr>
          <w:rFonts w:ascii="Times New Roman" w:hAnsi="Times New Roman" w:cs="Times New Roman"/>
          <w:color w:val="000000"/>
          <w:sz w:val="24"/>
          <w:szCs w:val="24"/>
          <w:shd w:val="clear" w:color="auto" w:fill="FFFFFF"/>
        </w:rPr>
        <w:t xml:space="preserve">за исключением </w:t>
      </w:r>
      <w:r w:rsidR="00B10E48">
        <w:rPr>
          <w:rFonts w:ascii="Times New Roman" w:hAnsi="Times New Roman" w:cs="Times New Roman"/>
          <w:color w:val="000000"/>
          <w:sz w:val="24"/>
          <w:szCs w:val="24"/>
          <w:shd w:val="clear" w:color="auto" w:fill="FFFFFF"/>
          <w:lang w:val="en-US"/>
        </w:rPr>
        <w:t>LT</w:t>
      </w:r>
      <w:r w:rsidR="00B10E48">
        <w:rPr>
          <w:rFonts w:ascii="Times New Roman" w:hAnsi="Times New Roman" w:cs="Times New Roman"/>
          <w:color w:val="000000"/>
          <w:sz w:val="24"/>
          <w:szCs w:val="24"/>
          <w:shd w:val="clear" w:color="auto" w:fill="FFFFFF"/>
        </w:rPr>
        <w:t>, отражающ</w:t>
      </w:r>
      <w:r w:rsidR="00FC3D18">
        <w:rPr>
          <w:rFonts w:ascii="Times New Roman" w:hAnsi="Times New Roman" w:cs="Times New Roman"/>
          <w:color w:val="000000"/>
          <w:sz w:val="24"/>
          <w:szCs w:val="24"/>
          <w:shd w:val="clear" w:color="auto" w:fill="FFFFFF"/>
        </w:rPr>
        <w:t>его</w:t>
      </w:r>
      <w:r w:rsidR="00B10E48">
        <w:rPr>
          <w:rFonts w:ascii="Times New Roman" w:hAnsi="Times New Roman" w:cs="Times New Roman"/>
          <w:color w:val="000000"/>
          <w:sz w:val="24"/>
          <w:szCs w:val="24"/>
          <w:shd w:val="clear" w:color="auto" w:fill="FFFFFF"/>
        </w:rPr>
        <w:t xml:space="preserve"> чувствительность технологий к </w:t>
      </w:r>
      <w:r w:rsidR="00FC3D18">
        <w:rPr>
          <w:rFonts w:ascii="Times New Roman" w:hAnsi="Times New Roman" w:cs="Times New Roman"/>
          <w:color w:val="000000"/>
          <w:sz w:val="24"/>
          <w:szCs w:val="24"/>
          <w:shd w:val="clear" w:color="auto" w:fill="FFFFFF"/>
        </w:rPr>
        <w:t>генерации стартового количества тромбина</w:t>
      </w:r>
      <w:r w:rsidR="00A15614">
        <w:rPr>
          <w:rFonts w:ascii="Times New Roman" w:hAnsi="Times New Roman" w:cs="Times New Roman"/>
          <w:color w:val="000000"/>
          <w:sz w:val="24"/>
          <w:szCs w:val="24"/>
          <w:shd w:val="clear" w:color="auto" w:fill="FFFFFF"/>
        </w:rPr>
        <w:t>.</w:t>
      </w:r>
      <w:r w:rsidR="00E92325">
        <w:rPr>
          <w:rFonts w:ascii="Times New Roman" w:hAnsi="Times New Roman" w:cs="Times New Roman"/>
          <w:color w:val="000000"/>
          <w:sz w:val="24"/>
          <w:szCs w:val="24"/>
          <w:shd w:val="clear" w:color="auto" w:fill="FFFFFF"/>
        </w:rPr>
        <w:t xml:space="preserve"> </w:t>
      </w:r>
      <w:r w:rsidR="00DB37D2">
        <w:rPr>
          <w:rFonts w:ascii="Times New Roman" w:hAnsi="Times New Roman" w:cs="Times New Roman"/>
          <w:color w:val="000000"/>
          <w:sz w:val="24"/>
          <w:szCs w:val="24"/>
          <w:shd w:val="clear" w:color="auto" w:fill="FFFFFF"/>
        </w:rPr>
        <w:t>Таким</w:t>
      </w:r>
      <w:r w:rsidR="00B77058">
        <w:rPr>
          <w:rFonts w:ascii="Times New Roman" w:hAnsi="Times New Roman" w:cs="Times New Roman"/>
          <w:color w:val="000000"/>
          <w:sz w:val="24"/>
          <w:szCs w:val="24"/>
          <w:shd w:val="clear" w:color="auto" w:fill="FFFFFF"/>
        </w:rPr>
        <w:t xml:space="preserve"> образом</w:t>
      </w:r>
      <w:r w:rsidR="00E92325">
        <w:rPr>
          <w:rFonts w:ascii="Times New Roman" w:hAnsi="Times New Roman" w:cs="Times New Roman"/>
          <w:color w:val="000000"/>
          <w:sz w:val="24"/>
          <w:szCs w:val="24"/>
          <w:shd w:val="clear" w:color="auto" w:fill="FFFFFF"/>
        </w:rPr>
        <w:t>,</w:t>
      </w:r>
      <w:r w:rsidR="00B77058">
        <w:rPr>
          <w:rFonts w:ascii="Times New Roman" w:hAnsi="Times New Roman" w:cs="Times New Roman"/>
          <w:color w:val="000000"/>
          <w:sz w:val="24"/>
          <w:szCs w:val="24"/>
          <w:shd w:val="clear" w:color="auto" w:fill="FFFFFF"/>
        </w:rPr>
        <w:t xml:space="preserve"> параметры ТГТ индивидуальны и </w:t>
      </w:r>
      <w:r w:rsidR="00BD698B">
        <w:rPr>
          <w:rFonts w:ascii="Times New Roman" w:hAnsi="Times New Roman" w:cs="Times New Roman"/>
          <w:color w:val="000000"/>
          <w:sz w:val="24"/>
          <w:szCs w:val="24"/>
          <w:shd w:val="clear" w:color="auto" w:fill="FFFFFF"/>
        </w:rPr>
        <w:t xml:space="preserve">использование </w:t>
      </w:r>
      <w:r w:rsidR="00E92325">
        <w:rPr>
          <w:rFonts w:ascii="Times New Roman" w:hAnsi="Times New Roman" w:cs="Times New Roman"/>
          <w:color w:val="000000"/>
          <w:sz w:val="24"/>
          <w:szCs w:val="24"/>
          <w:shd w:val="clear" w:color="auto" w:fill="FFFFFF"/>
        </w:rPr>
        <w:t>исследования</w:t>
      </w:r>
      <w:r w:rsidR="00A15614">
        <w:rPr>
          <w:rFonts w:ascii="Times New Roman" w:hAnsi="Times New Roman" w:cs="Times New Roman"/>
          <w:color w:val="000000"/>
          <w:sz w:val="24"/>
          <w:szCs w:val="24"/>
          <w:shd w:val="clear" w:color="auto" w:fill="FFFFFF"/>
        </w:rPr>
        <w:t xml:space="preserve"> </w:t>
      </w:r>
      <w:r w:rsidR="00DB37D2">
        <w:rPr>
          <w:rFonts w:ascii="Times New Roman" w:hAnsi="Times New Roman" w:cs="Times New Roman"/>
          <w:color w:val="000000"/>
          <w:sz w:val="24"/>
          <w:szCs w:val="24"/>
          <w:shd w:val="clear" w:color="auto" w:fill="FFFFFF"/>
        </w:rPr>
        <w:t>в динамике для каждого конкретного индивида</w:t>
      </w:r>
      <w:r w:rsidR="000147E7">
        <w:rPr>
          <w:rFonts w:ascii="Times New Roman" w:hAnsi="Times New Roman" w:cs="Times New Roman"/>
          <w:color w:val="000000"/>
          <w:sz w:val="24"/>
          <w:szCs w:val="24"/>
          <w:shd w:val="clear" w:color="auto" w:fill="FFFFFF"/>
        </w:rPr>
        <w:t>,</w:t>
      </w:r>
      <w:r w:rsidR="00DB37D2">
        <w:rPr>
          <w:rFonts w:ascii="Times New Roman" w:hAnsi="Times New Roman" w:cs="Times New Roman"/>
          <w:color w:val="000000"/>
          <w:sz w:val="24"/>
          <w:szCs w:val="24"/>
          <w:shd w:val="clear" w:color="auto" w:fill="FFFFFF"/>
        </w:rPr>
        <w:t xml:space="preserve"> вероятно</w:t>
      </w:r>
      <w:r w:rsidR="000147E7">
        <w:rPr>
          <w:rFonts w:ascii="Times New Roman" w:hAnsi="Times New Roman" w:cs="Times New Roman"/>
          <w:color w:val="000000"/>
          <w:sz w:val="24"/>
          <w:szCs w:val="24"/>
          <w:shd w:val="clear" w:color="auto" w:fill="FFFFFF"/>
        </w:rPr>
        <w:t>,</w:t>
      </w:r>
      <w:r w:rsidR="00DB37D2">
        <w:rPr>
          <w:rFonts w:ascii="Times New Roman" w:hAnsi="Times New Roman" w:cs="Times New Roman"/>
          <w:color w:val="000000"/>
          <w:sz w:val="24"/>
          <w:szCs w:val="24"/>
          <w:shd w:val="clear" w:color="auto" w:fill="FFFFFF"/>
        </w:rPr>
        <w:t xml:space="preserve"> имеет б</w:t>
      </w:r>
      <w:r w:rsidR="00E82E69">
        <w:rPr>
          <w:rFonts w:ascii="Times New Roman" w:hAnsi="Times New Roman" w:cs="Times New Roman"/>
          <w:color w:val="000000"/>
          <w:sz w:val="24"/>
          <w:szCs w:val="24"/>
          <w:shd w:val="clear" w:color="auto" w:fill="FFFFFF"/>
        </w:rPr>
        <w:t>о</w:t>
      </w:r>
      <w:r w:rsidR="00DB37D2">
        <w:rPr>
          <w:rFonts w:ascii="Times New Roman" w:hAnsi="Times New Roman" w:cs="Times New Roman"/>
          <w:color w:val="000000"/>
          <w:sz w:val="24"/>
          <w:szCs w:val="24"/>
          <w:shd w:val="clear" w:color="auto" w:fill="FFFFFF"/>
        </w:rPr>
        <w:t xml:space="preserve">льшую информативность, </w:t>
      </w:r>
      <w:r w:rsidR="000147E7">
        <w:rPr>
          <w:rFonts w:ascii="Times New Roman" w:hAnsi="Times New Roman" w:cs="Times New Roman"/>
          <w:color w:val="000000"/>
          <w:sz w:val="24"/>
          <w:szCs w:val="24"/>
          <w:shd w:val="clear" w:color="auto" w:fill="FFFFFF"/>
        </w:rPr>
        <w:t xml:space="preserve">чем применение </w:t>
      </w:r>
      <w:r w:rsidR="00DB37D2">
        <w:rPr>
          <w:rFonts w:ascii="Times New Roman" w:hAnsi="Times New Roman" w:cs="Times New Roman"/>
          <w:color w:val="000000"/>
          <w:sz w:val="24"/>
          <w:szCs w:val="24"/>
          <w:shd w:val="clear" w:color="auto" w:fill="FFFFFF"/>
        </w:rPr>
        <w:t>РИ</w:t>
      </w:r>
      <w:r w:rsidR="000147E7">
        <w:rPr>
          <w:rFonts w:ascii="Times New Roman" w:hAnsi="Times New Roman" w:cs="Times New Roman"/>
          <w:color w:val="000000"/>
          <w:sz w:val="24"/>
          <w:szCs w:val="24"/>
          <w:shd w:val="clear" w:color="auto" w:fill="FFFFFF"/>
        </w:rPr>
        <w:t>, полученных</w:t>
      </w:r>
      <w:r w:rsidR="00DB37D2">
        <w:rPr>
          <w:rFonts w:ascii="Times New Roman" w:hAnsi="Times New Roman" w:cs="Times New Roman"/>
          <w:color w:val="000000"/>
          <w:sz w:val="24"/>
          <w:szCs w:val="24"/>
          <w:shd w:val="clear" w:color="auto" w:fill="FFFFFF"/>
        </w:rPr>
        <w:t xml:space="preserve"> в общей популяции.</w:t>
      </w:r>
      <w:r w:rsidR="00A15614">
        <w:rPr>
          <w:rFonts w:ascii="Times New Roman" w:hAnsi="Times New Roman" w:cs="Times New Roman"/>
          <w:color w:val="000000"/>
          <w:sz w:val="24"/>
          <w:szCs w:val="24"/>
          <w:shd w:val="clear" w:color="auto" w:fill="FFFFFF"/>
        </w:rPr>
        <w:t xml:space="preserve"> </w:t>
      </w:r>
      <w:r w:rsidR="00FC3D18">
        <w:rPr>
          <w:rFonts w:ascii="Times New Roman" w:hAnsi="Times New Roman" w:cs="Times New Roman"/>
          <w:color w:val="000000"/>
          <w:sz w:val="24"/>
          <w:szCs w:val="24"/>
          <w:shd w:val="clear" w:color="auto" w:fill="FFFFFF"/>
        </w:rPr>
        <w:t>Динамическое наблюдение за пациентом должно выполняться с применением одной и той же технологии.</w:t>
      </w:r>
    </w:p>
    <w:p w14:paraId="20D7F5CD" w14:textId="56DD9C2C" w:rsidR="00A3372E" w:rsidRPr="00671113" w:rsidRDefault="00B77058" w:rsidP="0040071C">
      <w:pPr>
        <w:spacing w:after="0" w:line="24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p>
    <w:p w14:paraId="17FD89F3" w14:textId="41A212F8" w:rsidR="00A3372E" w:rsidRPr="008610B9" w:rsidRDefault="00A3372E" w:rsidP="0040071C">
      <w:pPr>
        <w:spacing w:line="240" w:lineRule="auto"/>
        <w:contextualSpacing/>
        <w:jc w:val="both"/>
        <w:rPr>
          <w:rFonts w:ascii="Times New Roman" w:hAnsi="Times New Roman" w:cs="Times New Roman"/>
          <w:sz w:val="24"/>
          <w:szCs w:val="24"/>
        </w:rPr>
      </w:pPr>
      <w:r w:rsidRPr="008610B9">
        <w:rPr>
          <w:rFonts w:ascii="Times New Roman" w:hAnsi="Times New Roman" w:cs="Times New Roman"/>
          <w:b/>
          <w:sz w:val="24"/>
          <w:szCs w:val="24"/>
        </w:rPr>
        <w:t>Ключевые слова:</w:t>
      </w:r>
      <w:r w:rsidRPr="00AF5967">
        <w:rPr>
          <w:rFonts w:ascii="Times New Roman" w:hAnsi="Times New Roman" w:cs="Times New Roman"/>
          <w:b/>
          <w:sz w:val="24"/>
          <w:szCs w:val="24"/>
        </w:rPr>
        <w:t xml:space="preserve"> </w:t>
      </w:r>
      <w:r w:rsidR="00BB79CF">
        <w:rPr>
          <w:rFonts w:ascii="Times New Roman" w:hAnsi="Times New Roman" w:cs="Times New Roman"/>
          <w:sz w:val="24"/>
          <w:szCs w:val="24"/>
        </w:rPr>
        <w:t>генерация тромбина</w:t>
      </w:r>
      <w:r w:rsidR="00BF6C38" w:rsidRPr="00BF6C38">
        <w:rPr>
          <w:rFonts w:ascii="Times New Roman" w:hAnsi="Times New Roman" w:cs="Times New Roman"/>
          <w:sz w:val="24"/>
          <w:szCs w:val="24"/>
        </w:rPr>
        <w:t xml:space="preserve">, </w:t>
      </w:r>
      <w:r w:rsidR="00BB79CF">
        <w:rPr>
          <w:rFonts w:ascii="Times New Roman" w:hAnsi="Times New Roman" w:cs="Times New Roman"/>
          <w:sz w:val="24"/>
          <w:szCs w:val="24"/>
        </w:rPr>
        <w:t>калиброванная автоматизированная тромбограмма</w:t>
      </w:r>
      <w:r w:rsidR="00BF6C38" w:rsidRPr="00BF6C38">
        <w:rPr>
          <w:rFonts w:ascii="Times New Roman" w:hAnsi="Times New Roman" w:cs="Times New Roman"/>
          <w:sz w:val="24"/>
          <w:szCs w:val="24"/>
        </w:rPr>
        <w:t>,</w:t>
      </w:r>
      <w:r w:rsidR="00BF6C38">
        <w:rPr>
          <w:rFonts w:ascii="Times New Roman" w:hAnsi="Times New Roman" w:cs="Times New Roman"/>
          <w:b/>
          <w:sz w:val="24"/>
          <w:szCs w:val="24"/>
        </w:rPr>
        <w:t xml:space="preserve"> </w:t>
      </w:r>
      <w:r>
        <w:rPr>
          <w:rFonts w:ascii="Times New Roman" w:hAnsi="Times New Roman" w:cs="Times New Roman"/>
          <w:sz w:val="24"/>
          <w:szCs w:val="24"/>
        </w:rPr>
        <w:t>тест генерации тромбина, референтные интервалы</w:t>
      </w:r>
    </w:p>
    <w:p w14:paraId="74A1E5E6" w14:textId="77777777" w:rsidR="0092756D" w:rsidRDefault="0092756D" w:rsidP="0040071C">
      <w:pPr>
        <w:spacing w:line="240" w:lineRule="auto"/>
        <w:contextualSpacing/>
        <w:jc w:val="both"/>
        <w:rPr>
          <w:rFonts w:ascii="Times New Roman" w:hAnsi="Times New Roman" w:cs="Times New Roman"/>
          <w:i/>
          <w:sz w:val="24"/>
          <w:szCs w:val="24"/>
        </w:rPr>
      </w:pPr>
    </w:p>
    <w:p w14:paraId="01FD925C" w14:textId="77777777" w:rsidR="0092756D" w:rsidRPr="003404DE" w:rsidRDefault="0092756D" w:rsidP="0040071C">
      <w:pPr>
        <w:spacing w:line="240" w:lineRule="auto"/>
        <w:contextualSpacing/>
        <w:jc w:val="both"/>
        <w:rPr>
          <w:rFonts w:ascii="Times New Roman" w:hAnsi="Times New Roman" w:cs="Times New Roman"/>
          <w:i/>
          <w:sz w:val="24"/>
          <w:szCs w:val="24"/>
          <w:lang w:val="en-US"/>
        </w:rPr>
      </w:pPr>
      <w:r w:rsidRPr="00832D9A">
        <w:rPr>
          <w:rFonts w:ascii="Times New Roman" w:hAnsi="Times New Roman" w:cs="Times New Roman"/>
          <w:i/>
          <w:sz w:val="24"/>
          <w:szCs w:val="24"/>
        </w:rPr>
        <w:t xml:space="preserve">Для цитирования: Золотова Е.А., </w:t>
      </w:r>
      <w:r w:rsidR="00832D9A" w:rsidRPr="00832D9A">
        <w:rPr>
          <w:rFonts w:ascii="Times New Roman" w:hAnsi="Times New Roman" w:cs="Times New Roman"/>
          <w:i/>
          <w:sz w:val="24"/>
          <w:szCs w:val="24"/>
        </w:rPr>
        <w:t xml:space="preserve">Мельничникова О.С., Симакова М.А., Жиленкова Ю.И., </w:t>
      </w:r>
      <w:r w:rsidRPr="00832D9A">
        <w:rPr>
          <w:rFonts w:ascii="Times New Roman" w:hAnsi="Times New Roman" w:cs="Times New Roman"/>
          <w:i/>
          <w:sz w:val="24"/>
          <w:szCs w:val="24"/>
        </w:rPr>
        <w:t xml:space="preserve">Сироткина О.В., Вавилова Т.В. </w:t>
      </w:r>
      <w:r w:rsidR="00832D9A" w:rsidRPr="00832D9A">
        <w:rPr>
          <w:rFonts w:ascii="Times New Roman" w:hAnsi="Times New Roman" w:cs="Times New Roman"/>
          <w:i/>
          <w:sz w:val="24"/>
          <w:szCs w:val="24"/>
        </w:rPr>
        <w:t>Анализ межиндивидуальной вариации и референтные интервалы показателей теста генерации тромбина при постановке различными технологиями</w:t>
      </w:r>
      <w:r w:rsidRPr="00832D9A">
        <w:rPr>
          <w:rFonts w:ascii="Times New Roman" w:hAnsi="Times New Roman" w:cs="Times New Roman"/>
          <w:i/>
          <w:sz w:val="24"/>
          <w:szCs w:val="24"/>
        </w:rPr>
        <w:t>. Трансляционная</w:t>
      </w:r>
      <w:r w:rsidRPr="00832D9A">
        <w:rPr>
          <w:rFonts w:ascii="Times New Roman" w:hAnsi="Times New Roman" w:cs="Times New Roman"/>
          <w:i/>
          <w:sz w:val="24"/>
          <w:szCs w:val="24"/>
          <w:lang w:val="en-US"/>
        </w:rPr>
        <w:t xml:space="preserve"> </w:t>
      </w:r>
      <w:r w:rsidRPr="00832D9A">
        <w:rPr>
          <w:rFonts w:ascii="Times New Roman" w:hAnsi="Times New Roman" w:cs="Times New Roman"/>
          <w:i/>
          <w:sz w:val="24"/>
          <w:szCs w:val="24"/>
        </w:rPr>
        <w:t>медицина</w:t>
      </w:r>
      <w:r w:rsidRPr="00832D9A">
        <w:rPr>
          <w:rFonts w:ascii="Times New Roman" w:hAnsi="Times New Roman" w:cs="Times New Roman"/>
          <w:i/>
          <w:sz w:val="24"/>
          <w:szCs w:val="24"/>
          <w:lang w:val="en-US"/>
        </w:rPr>
        <w:t>. 2022,- (_):_ -_ DOI:_</w:t>
      </w:r>
    </w:p>
    <w:p w14:paraId="77E472D0" w14:textId="77777777" w:rsidR="0092756D" w:rsidRDefault="0092756D" w:rsidP="0040071C">
      <w:pPr>
        <w:spacing w:line="240" w:lineRule="auto"/>
        <w:contextualSpacing/>
        <w:rPr>
          <w:rFonts w:ascii="Times New Roman" w:hAnsi="Times New Roman" w:cs="Times New Roman"/>
          <w:b/>
          <w:sz w:val="28"/>
          <w:szCs w:val="28"/>
          <w:lang w:val="en-US"/>
        </w:rPr>
      </w:pPr>
    </w:p>
    <w:p w14:paraId="121599E4" w14:textId="67254E17" w:rsidR="0056188B" w:rsidRDefault="0056188B" w:rsidP="0040071C">
      <w:pPr>
        <w:spacing w:line="240" w:lineRule="auto"/>
        <w:contextualSpacing/>
        <w:rPr>
          <w:rFonts w:ascii="Times New Roman" w:hAnsi="Times New Roman" w:cs="Times New Roman"/>
          <w:b/>
          <w:sz w:val="28"/>
          <w:szCs w:val="28"/>
          <w:lang w:val="en-US"/>
        </w:rPr>
      </w:pPr>
      <w:r w:rsidRPr="0056188B">
        <w:rPr>
          <w:rFonts w:ascii="Times New Roman" w:hAnsi="Times New Roman" w:cs="Times New Roman"/>
          <w:b/>
          <w:sz w:val="28"/>
          <w:szCs w:val="28"/>
          <w:lang w:val="en-US"/>
        </w:rPr>
        <w:t>ANALYSIS OF INTER-INDIVIDUAL VARIATION AND REFERENCE INTERVA</w:t>
      </w:r>
      <w:r w:rsidR="00A42275">
        <w:rPr>
          <w:rFonts w:ascii="Times New Roman" w:hAnsi="Times New Roman" w:cs="Times New Roman"/>
          <w:b/>
          <w:sz w:val="28"/>
          <w:szCs w:val="28"/>
          <w:lang w:val="en-US"/>
        </w:rPr>
        <w:t>LS OF THROMBIN GENERATION TEST PARAMETERS</w:t>
      </w:r>
      <w:r w:rsidRPr="0056188B">
        <w:rPr>
          <w:rFonts w:ascii="Times New Roman" w:hAnsi="Times New Roman" w:cs="Times New Roman"/>
          <w:b/>
          <w:sz w:val="28"/>
          <w:szCs w:val="28"/>
          <w:lang w:val="en-US"/>
        </w:rPr>
        <w:t xml:space="preserve"> </w:t>
      </w:r>
      <w:r w:rsidRPr="00586794">
        <w:rPr>
          <w:rFonts w:ascii="Times New Roman" w:hAnsi="Times New Roman" w:cs="Times New Roman"/>
          <w:b/>
          <w:sz w:val="28"/>
          <w:szCs w:val="28"/>
          <w:highlight w:val="yellow"/>
          <w:lang w:val="en-US"/>
        </w:rPr>
        <w:t>USING DIFFERENT</w:t>
      </w:r>
      <w:r w:rsidRPr="0056188B">
        <w:rPr>
          <w:rFonts w:ascii="Times New Roman" w:hAnsi="Times New Roman" w:cs="Times New Roman"/>
          <w:b/>
          <w:sz w:val="28"/>
          <w:szCs w:val="28"/>
          <w:lang w:val="en-US"/>
        </w:rPr>
        <w:t xml:space="preserve"> TECHNOLOGIES</w:t>
      </w:r>
    </w:p>
    <w:p w14:paraId="61BD81D7" w14:textId="77777777" w:rsidR="00A066FB" w:rsidRDefault="00A066FB" w:rsidP="0040071C">
      <w:pPr>
        <w:spacing w:after="0" w:line="240" w:lineRule="auto"/>
        <w:contextualSpacing/>
        <w:rPr>
          <w:rFonts w:ascii="Times New Roman" w:hAnsi="Times New Roman" w:cs="Times New Roman"/>
          <w:b/>
          <w:sz w:val="24"/>
          <w:szCs w:val="24"/>
          <w:lang w:val="en-US"/>
        </w:rPr>
      </w:pPr>
      <w:r w:rsidRPr="00817A8A">
        <w:rPr>
          <w:rFonts w:ascii="Times New Roman" w:hAnsi="Times New Roman" w:cs="Times New Roman"/>
          <w:b/>
          <w:sz w:val="24"/>
          <w:szCs w:val="24"/>
          <w:lang w:val="en-US"/>
        </w:rPr>
        <w:t xml:space="preserve">Ekaterina A. Zolotova </w:t>
      </w:r>
      <w:r w:rsidRPr="00817A8A">
        <w:rPr>
          <w:rFonts w:ascii="Times New Roman" w:hAnsi="Times New Roman" w:cs="Times New Roman"/>
          <w:b/>
          <w:sz w:val="24"/>
          <w:szCs w:val="24"/>
          <w:vertAlign w:val="superscript"/>
          <w:lang w:val="en-US"/>
        </w:rPr>
        <w:t>1</w:t>
      </w:r>
      <w:r w:rsidRPr="00817A8A">
        <w:rPr>
          <w:rFonts w:ascii="Times New Roman" w:hAnsi="Times New Roman" w:cs="Times New Roman"/>
          <w:b/>
          <w:sz w:val="24"/>
          <w:szCs w:val="24"/>
          <w:lang w:val="en-US"/>
        </w:rPr>
        <w:t xml:space="preserve">, Olga S. Melnichnikova </w:t>
      </w:r>
      <w:r w:rsidRPr="00817A8A">
        <w:rPr>
          <w:rFonts w:ascii="Times New Roman" w:hAnsi="Times New Roman" w:cs="Times New Roman"/>
          <w:b/>
          <w:sz w:val="24"/>
          <w:szCs w:val="24"/>
          <w:vertAlign w:val="superscript"/>
          <w:lang w:val="en-US"/>
        </w:rPr>
        <w:t>1</w:t>
      </w:r>
      <w:r w:rsidRPr="00817A8A">
        <w:rPr>
          <w:rFonts w:ascii="Times New Roman" w:hAnsi="Times New Roman" w:cs="Times New Roman"/>
          <w:b/>
          <w:sz w:val="24"/>
          <w:szCs w:val="24"/>
          <w:lang w:val="en-US"/>
        </w:rPr>
        <w:t xml:space="preserve">, Maria A. Simakova </w:t>
      </w:r>
      <w:r w:rsidRPr="00817A8A">
        <w:rPr>
          <w:rFonts w:ascii="Times New Roman" w:hAnsi="Times New Roman" w:cs="Times New Roman"/>
          <w:b/>
          <w:sz w:val="24"/>
          <w:szCs w:val="24"/>
          <w:vertAlign w:val="superscript"/>
          <w:lang w:val="en-US"/>
        </w:rPr>
        <w:t>1</w:t>
      </w:r>
      <w:r w:rsidRPr="00817A8A">
        <w:rPr>
          <w:rFonts w:ascii="Times New Roman" w:hAnsi="Times New Roman" w:cs="Times New Roman"/>
          <w:b/>
          <w:sz w:val="24"/>
          <w:szCs w:val="24"/>
          <w:lang w:val="en-US"/>
        </w:rPr>
        <w:t xml:space="preserve">, </w:t>
      </w:r>
    </w:p>
    <w:p w14:paraId="3E2AEFEB" w14:textId="77777777" w:rsidR="00A066FB" w:rsidRPr="00817A8A" w:rsidRDefault="00A066FB" w:rsidP="0040071C">
      <w:pPr>
        <w:spacing w:after="0" w:line="240" w:lineRule="auto"/>
        <w:contextualSpacing/>
        <w:rPr>
          <w:rFonts w:ascii="Times New Roman" w:hAnsi="Times New Roman" w:cs="Times New Roman"/>
          <w:b/>
          <w:sz w:val="24"/>
          <w:szCs w:val="24"/>
          <w:lang w:val="en-US"/>
        </w:rPr>
      </w:pPr>
      <w:r w:rsidRPr="00817A8A">
        <w:rPr>
          <w:rFonts w:ascii="Times New Roman" w:hAnsi="Times New Roman" w:cs="Times New Roman"/>
          <w:b/>
          <w:sz w:val="24"/>
          <w:szCs w:val="24"/>
          <w:lang w:val="en-US"/>
        </w:rPr>
        <w:t xml:space="preserve">Yulia I. Zhilenkova </w:t>
      </w:r>
      <w:r w:rsidRPr="00817A8A">
        <w:rPr>
          <w:rFonts w:ascii="Times New Roman" w:hAnsi="Times New Roman" w:cs="Times New Roman"/>
          <w:b/>
          <w:sz w:val="24"/>
          <w:szCs w:val="24"/>
          <w:vertAlign w:val="superscript"/>
          <w:lang w:val="en-US"/>
        </w:rPr>
        <w:t>1</w:t>
      </w:r>
      <w:r w:rsidRPr="00817A8A">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Pr="00817A8A">
        <w:rPr>
          <w:rFonts w:ascii="Times New Roman" w:hAnsi="Times New Roman" w:cs="Times New Roman"/>
          <w:b/>
          <w:sz w:val="24"/>
          <w:szCs w:val="24"/>
          <w:lang w:val="en-US"/>
        </w:rPr>
        <w:t xml:space="preserve">Olga V. Sirotkina </w:t>
      </w:r>
      <w:r w:rsidRPr="00817A8A">
        <w:rPr>
          <w:rFonts w:ascii="Times New Roman" w:hAnsi="Times New Roman" w:cs="Times New Roman"/>
          <w:b/>
          <w:sz w:val="24"/>
          <w:szCs w:val="24"/>
          <w:vertAlign w:val="superscript"/>
          <w:lang w:val="en-US"/>
        </w:rPr>
        <w:t>1,2,3</w:t>
      </w:r>
      <w:r w:rsidRPr="00817A8A">
        <w:rPr>
          <w:rFonts w:ascii="Times New Roman" w:hAnsi="Times New Roman" w:cs="Times New Roman"/>
          <w:b/>
          <w:sz w:val="24"/>
          <w:szCs w:val="24"/>
          <w:lang w:val="en-US"/>
        </w:rPr>
        <w:t xml:space="preserve">, Tatiana V. Vavilova </w:t>
      </w:r>
      <w:r w:rsidRPr="00817A8A">
        <w:rPr>
          <w:rFonts w:ascii="Times New Roman" w:hAnsi="Times New Roman" w:cs="Times New Roman"/>
          <w:b/>
          <w:sz w:val="24"/>
          <w:szCs w:val="24"/>
          <w:vertAlign w:val="superscript"/>
          <w:lang w:val="en-US"/>
        </w:rPr>
        <w:t>1</w:t>
      </w:r>
      <w:r w:rsidRPr="00817A8A">
        <w:rPr>
          <w:rFonts w:ascii="Times New Roman" w:hAnsi="Times New Roman" w:cs="Times New Roman"/>
          <w:b/>
          <w:sz w:val="24"/>
          <w:szCs w:val="24"/>
          <w:lang w:val="en-US"/>
        </w:rPr>
        <w:t xml:space="preserve"> </w:t>
      </w:r>
    </w:p>
    <w:p w14:paraId="1042E9E8" w14:textId="77777777" w:rsidR="00A066FB" w:rsidRPr="00817A8A" w:rsidRDefault="00A066FB" w:rsidP="0040071C">
      <w:pPr>
        <w:spacing w:after="0" w:line="240" w:lineRule="auto"/>
        <w:contextualSpacing/>
        <w:rPr>
          <w:rFonts w:ascii="Times New Roman" w:hAnsi="Times New Roman" w:cs="Times New Roman"/>
          <w:sz w:val="24"/>
          <w:szCs w:val="24"/>
          <w:lang w:val="en-US"/>
        </w:rPr>
      </w:pPr>
    </w:p>
    <w:p w14:paraId="72143375" w14:textId="77777777" w:rsidR="00A066FB" w:rsidRPr="00817A8A" w:rsidRDefault="00A066FB" w:rsidP="0040071C">
      <w:pPr>
        <w:pStyle w:val="a9"/>
        <w:spacing w:before="0" w:beforeAutospacing="0" w:after="0" w:afterAutospacing="0"/>
        <w:contextualSpacing/>
        <w:rPr>
          <w:lang w:val="en-US"/>
        </w:rPr>
      </w:pPr>
      <w:r w:rsidRPr="00817A8A">
        <w:rPr>
          <w:vertAlign w:val="superscript"/>
          <w:lang w:val="en-US"/>
        </w:rPr>
        <w:t>1</w:t>
      </w:r>
      <w:r w:rsidRPr="00817A8A">
        <w:rPr>
          <w:lang w:val="en-US"/>
        </w:rPr>
        <w:t xml:space="preserve">Almazov </w:t>
      </w:r>
      <w:r w:rsidRPr="00817A8A">
        <w:rPr>
          <w:color w:val="000000"/>
          <w:lang w:val="en-US"/>
        </w:rPr>
        <w:t>National Medical Research Centre, 2, Akkuratova str., Saint-Petersburg, Russian Federation, 197341</w:t>
      </w:r>
    </w:p>
    <w:p w14:paraId="0C0708F7" w14:textId="77777777" w:rsidR="00A066FB" w:rsidRPr="00817A8A" w:rsidRDefault="00A066FB" w:rsidP="0040071C">
      <w:pPr>
        <w:pStyle w:val="a9"/>
        <w:spacing w:before="0" w:beforeAutospacing="0" w:after="0" w:afterAutospacing="0"/>
        <w:contextualSpacing/>
        <w:rPr>
          <w:lang w:val="en-US"/>
        </w:rPr>
      </w:pPr>
      <w:r w:rsidRPr="00817A8A">
        <w:rPr>
          <w:rFonts w:eastAsia="Times New Roman"/>
          <w:vertAlign w:val="superscript"/>
          <w:lang w:val="en-US"/>
        </w:rPr>
        <w:t>2</w:t>
      </w:r>
      <w:r w:rsidRPr="00817A8A">
        <w:rPr>
          <w:color w:val="000000"/>
          <w:lang w:val="en-US"/>
        </w:rPr>
        <w:t>Petersburg Nuclear Physics Institute named by B.P. Konstantinov of National Research Centre «Kurchatov Institute», 1, Orlova Rostcha, Saint-Petersburg, Gatchina, Russian Federation, 188300</w:t>
      </w:r>
    </w:p>
    <w:p w14:paraId="04EFB025" w14:textId="2BCC5496" w:rsidR="00A066FB" w:rsidRDefault="00A066FB" w:rsidP="0040071C">
      <w:pPr>
        <w:pStyle w:val="a9"/>
        <w:spacing w:before="0" w:beforeAutospacing="0" w:after="0" w:afterAutospacing="0"/>
        <w:contextualSpacing/>
        <w:rPr>
          <w:color w:val="000000"/>
          <w:lang w:val="en-US"/>
        </w:rPr>
      </w:pPr>
      <w:r w:rsidRPr="00817A8A">
        <w:rPr>
          <w:vertAlign w:val="superscript"/>
          <w:lang w:val="en-US"/>
        </w:rPr>
        <w:t>3</w:t>
      </w:r>
      <w:r w:rsidRPr="00817A8A">
        <w:rPr>
          <w:rFonts w:ascii="Georgia" w:eastAsia="Times New Roman" w:hAnsi="Georgia" w:cs="Arial"/>
          <w:color w:val="000000"/>
          <w:bdr w:val="none" w:sz="0" w:space="0" w:color="auto" w:frame="1"/>
          <w:shd w:val="clear" w:color="auto" w:fill="FFFFFF"/>
          <w:lang w:val="en-US"/>
        </w:rPr>
        <w:t xml:space="preserve">First Pavlov State Medical University of St. Petersburg, 6/8, L. Tolstogo str., Saint-Petersburg, Russian Federation, </w:t>
      </w:r>
      <w:r w:rsidRPr="00817A8A">
        <w:rPr>
          <w:color w:val="000000"/>
          <w:lang w:val="en-US"/>
        </w:rPr>
        <w:t>197022</w:t>
      </w:r>
    </w:p>
    <w:p w14:paraId="19516C8F" w14:textId="77777777" w:rsidR="000147E7" w:rsidRPr="00817A8A" w:rsidRDefault="000147E7" w:rsidP="0040071C">
      <w:pPr>
        <w:pStyle w:val="a9"/>
        <w:spacing w:before="0" w:beforeAutospacing="0" w:after="0" w:afterAutospacing="0"/>
        <w:contextualSpacing/>
        <w:rPr>
          <w:color w:val="000000"/>
          <w:lang w:val="en-US"/>
        </w:rPr>
      </w:pPr>
    </w:p>
    <w:p w14:paraId="7A4528B2" w14:textId="77777777" w:rsidR="00A066FB" w:rsidRPr="005B0C85" w:rsidRDefault="00A066FB" w:rsidP="0040071C">
      <w:pPr>
        <w:contextualSpacing/>
        <w:rPr>
          <w:rFonts w:ascii="Times New Roman" w:hAnsi="Times New Roman" w:cs="Times New Roman"/>
          <w:b/>
          <w:sz w:val="24"/>
          <w:szCs w:val="24"/>
          <w:lang w:val="en-US"/>
        </w:rPr>
      </w:pPr>
      <w:r w:rsidRPr="005B0C85">
        <w:rPr>
          <w:rFonts w:ascii="Times New Roman" w:hAnsi="Times New Roman" w:cs="Times New Roman"/>
          <w:b/>
          <w:sz w:val="24"/>
          <w:szCs w:val="24"/>
          <w:lang w:val="en-US"/>
        </w:rPr>
        <w:t>Corresponding author:</w:t>
      </w:r>
    </w:p>
    <w:p w14:paraId="4A3729C7" w14:textId="77777777" w:rsidR="00A066FB" w:rsidRPr="005B0C85" w:rsidRDefault="00A066FB" w:rsidP="0040071C">
      <w:pPr>
        <w:contextualSpacing/>
        <w:rPr>
          <w:rFonts w:ascii="Times New Roman" w:hAnsi="Times New Roman" w:cs="Times New Roman"/>
          <w:sz w:val="24"/>
          <w:szCs w:val="24"/>
          <w:lang w:val="en-US"/>
        </w:rPr>
      </w:pPr>
      <w:r w:rsidRPr="005B0C85">
        <w:rPr>
          <w:rFonts w:ascii="Times New Roman" w:hAnsi="Times New Roman" w:cs="Times New Roman"/>
          <w:sz w:val="24"/>
          <w:szCs w:val="24"/>
          <w:lang w:val="en-US"/>
        </w:rPr>
        <w:t>Ekaterina A.</w:t>
      </w:r>
      <w:r w:rsidRPr="00AF5967">
        <w:rPr>
          <w:rFonts w:ascii="Times New Roman" w:hAnsi="Times New Roman" w:cs="Times New Roman"/>
          <w:sz w:val="24"/>
          <w:szCs w:val="24"/>
          <w:lang w:val="en-US"/>
        </w:rPr>
        <w:t xml:space="preserve"> </w:t>
      </w:r>
      <w:r w:rsidRPr="005B0C85">
        <w:rPr>
          <w:rFonts w:ascii="Times New Roman" w:hAnsi="Times New Roman" w:cs="Times New Roman"/>
          <w:sz w:val="24"/>
          <w:szCs w:val="24"/>
          <w:lang w:val="en-US"/>
        </w:rPr>
        <w:t>Zolotova</w:t>
      </w:r>
    </w:p>
    <w:p w14:paraId="414A8D89" w14:textId="77777777" w:rsidR="00A066FB" w:rsidRDefault="00A066FB" w:rsidP="0040071C">
      <w:pPr>
        <w:contextualSpacing/>
        <w:rPr>
          <w:rFonts w:ascii="Times New Roman" w:hAnsi="Times New Roman" w:cs="Times New Roman"/>
          <w:sz w:val="24"/>
          <w:szCs w:val="24"/>
          <w:lang w:val="en-US"/>
        </w:rPr>
      </w:pPr>
      <w:r w:rsidRPr="00AF5967">
        <w:rPr>
          <w:rFonts w:ascii="Times New Roman" w:hAnsi="Times New Roman" w:cs="Times New Roman"/>
          <w:sz w:val="24"/>
          <w:szCs w:val="24"/>
          <w:lang w:val="en-US"/>
        </w:rPr>
        <w:t>Almazov National Medical Research Centre</w:t>
      </w:r>
      <w:r>
        <w:rPr>
          <w:rFonts w:ascii="Times New Roman" w:hAnsi="Times New Roman" w:cs="Times New Roman"/>
          <w:sz w:val="24"/>
          <w:szCs w:val="24"/>
          <w:lang w:val="en-US"/>
        </w:rPr>
        <w:t>,</w:t>
      </w:r>
    </w:p>
    <w:p w14:paraId="64249D3B" w14:textId="77777777" w:rsidR="00A066FB" w:rsidRPr="005B0C85" w:rsidRDefault="00A066FB" w:rsidP="0040071C">
      <w:pPr>
        <w:contextualSpacing/>
        <w:rPr>
          <w:rFonts w:ascii="Times New Roman" w:hAnsi="Times New Roman" w:cs="Times New Roman"/>
          <w:sz w:val="24"/>
          <w:szCs w:val="24"/>
          <w:lang w:val="en-US"/>
        </w:rPr>
      </w:pPr>
      <w:r w:rsidRPr="005B0C85">
        <w:rPr>
          <w:rFonts w:ascii="Times New Roman" w:hAnsi="Times New Roman" w:cs="Times New Roman"/>
          <w:sz w:val="24"/>
          <w:szCs w:val="24"/>
          <w:lang w:val="en-US"/>
        </w:rPr>
        <w:t xml:space="preserve">Akkuratova str. 2, Saint Petersburg, </w:t>
      </w:r>
    </w:p>
    <w:p w14:paraId="6BB0BFD1" w14:textId="77777777" w:rsidR="00A066FB" w:rsidRPr="005B0C85" w:rsidRDefault="00A066FB" w:rsidP="0040071C">
      <w:pPr>
        <w:contextualSpacing/>
        <w:rPr>
          <w:rFonts w:ascii="Times New Roman" w:hAnsi="Times New Roman" w:cs="Times New Roman"/>
          <w:b/>
          <w:sz w:val="24"/>
          <w:szCs w:val="24"/>
          <w:lang w:val="en-US"/>
        </w:rPr>
      </w:pPr>
      <w:r w:rsidRPr="005B0C85">
        <w:rPr>
          <w:rFonts w:ascii="Times New Roman" w:hAnsi="Times New Roman" w:cs="Times New Roman"/>
          <w:sz w:val="24"/>
          <w:szCs w:val="24"/>
          <w:lang w:val="en-US"/>
        </w:rPr>
        <w:t>Russia, 197341.</w:t>
      </w:r>
    </w:p>
    <w:p w14:paraId="419ABF1E" w14:textId="5DA9CB5C" w:rsidR="0010433A" w:rsidRPr="0010433A" w:rsidRDefault="00A066FB" w:rsidP="0040071C">
      <w:pPr>
        <w:spacing w:line="480" w:lineRule="auto"/>
        <w:contextualSpacing/>
        <w:jc w:val="both"/>
        <w:rPr>
          <w:rFonts w:ascii="Times New Roman" w:hAnsi="Times New Roman" w:cs="Times New Roman"/>
          <w:color w:val="0563C1" w:themeColor="hyperlink"/>
          <w:sz w:val="24"/>
          <w:szCs w:val="24"/>
          <w:u w:val="single"/>
          <w:lang w:val="en-US"/>
        </w:rPr>
      </w:pPr>
      <w:r w:rsidRPr="005B0C85">
        <w:rPr>
          <w:rFonts w:ascii="Times New Roman" w:hAnsi="Times New Roman" w:cs="Times New Roman"/>
          <w:sz w:val="24"/>
          <w:szCs w:val="24"/>
          <w:lang w:val="en-US"/>
        </w:rPr>
        <w:t>E-</w:t>
      </w:r>
      <w:r w:rsidRPr="0010433A">
        <w:rPr>
          <w:rFonts w:ascii="Times New Roman" w:hAnsi="Times New Roman" w:cs="Times New Roman"/>
          <w:sz w:val="24"/>
          <w:szCs w:val="24"/>
          <w:lang w:val="en-US"/>
        </w:rPr>
        <w:t xml:space="preserve">mail: </w:t>
      </w:r>
      <w:hyperlink r:id="rId9" w:history="1">
        <w:r w:rsidR="0010433A" w:rsidRPr="0010433A">
          <w:rPr>
            <w:rStyle w:val="af1"/>
            <w:rFonts w:ascii="Times New Roman" w:hAnsi="Times New Roman" w:cs="Times New Roman"/>
            <w:sz w:val="24"/>
            <w:szCs w:val="24"/>
            <w:lang w:val="en-US"/>
          </w:rPr>
          <w:t>katerinazolotova1@gmail.com</w:t>
        </w:r>
      </w:hyperlink>
      <w:r w:rsidR="0010433A" w:rsidRPr="0010433A">
        <w:rPr>
          <w:rFonts w:ascii="Times New Roman" w:hAnsi="Times New Roman" w:cs="Times New Roman"/>
          <w:sz w:val="24"/>
          <w:szCs w:val="24"/>
          <w:lang w:val="en-US"/>
        </w:rPr>
        <w:t xml:space="preserve"> </w:t>
      </w:r>
    </w:p>
    <w:p w14:paraId="15B117BF" w14:textId="77777777" w:rsidR="00A066FB" w:rsidRPr="00BB79CF" w:rsidRDefault="00A066FB" w:rsidP="0040071C">
      <w:pPr>
        <w:pStyle w:val="a9"/>
        <w:spacing w:before="0" w:beforeAutospacing="0" w:after="0" w:afterAutospacing="0"/>
        <w:contextualSpacing/>
        <w:jc w:val="both"/>
        <w:rPr>
          <w:b/>
          <w:color w:val="000000"/>
          <w:lang w:val="en-US"/>
        </w:rPr>
      </w:pPr>
      <w:r w:rsidRPr="00BB79CF">
        <w:rPr>
          <w:b/>
          <w:color w:val="000000"/>
          <w:lang w:val="en-US"/>
        </w:rPr>
        <w:t>Abstract</w:t>
      </w:r>
    </w:p>
    <w:p w14:paraId="0CCFAD07" w14:textId="14E95327" w:rsidR="0092756D" w:rsidRDefault="00A066FB" w:rsidP="00BD14AA">
      <w:pPr>
        <w:spacing w:line="240" w:lineRule="auto"/>
        <w:ind w:firstLine="708"/>
        <w:contextualSpacing/>
        <w:jc w:val="both"/>
        <w:rPr>
          <w:rFonts w:ascii="Times New Roman" w:hAnsi="Times New Roman" w:cs="Times New Roman"/>
          <w:color w:val="000000"/>
          <w:sz w:val="24"/>
          <w:szCs w:val="24"/>
          <w:shd w:val="clear" w:color="auto" w:fill="FFFFFF"/>
          <w:lang w:val="en-US"/>
        </w:rPr>
      </w:pPr>
      <w:r w:rsidRPr="00BB79CF">
        <w:rPr>
          <w:rFonts w:ascii="Times New Roman" w:hAnsi="Times New Roman" w:cs="Times New Roman"/>
          <w:b/>
          <w:color w:val="000000"/>
          <w:sz w:val="24"/>
          <w:szCs w:val="24"/>
          <w:shd w:val="clear" w:color="auto" w:fill="FFFFFF"/>
          <w:lang w:val="en-US"/>
        </w:rPr>
        <w:t>Background</w:t>
      </w:r>
      <w:r w:rsidRPr="00BB79CF">
        <w:rPr>
          <w:rFonts w:ascii="Times New Roman" w:hAnsi="Times New Roman" w:cs="Times New Roman"/>
          <w:color w:val="000000"/>
          <w:sz w:val="24"/>
          <w:szCs w:val="24"/>
          <w:shd w:val="clear" w:color="auto" w:fill="FFFFFF"/>
          <w:lang w:val="en-US"/>
        </w:rPr>
        <w:t>.</w:t>
      </w:r>
      <w:r w:rsidR="00E87D15" w:rsidRPr="00BB79CF">
        <w:rPr>
          <w:lang w:val="en-US"/>
        </w:rPr>
        <w:t xml:space="preserve"> </w:t>
      </w:r>
      <w:r w:rsidR="00CA33DE" w:rsidRPr="00CA33DE">
        <w:rPr>
          <w:rFonts w:ascii="Times New Roman" w:hAnsi="Times New Roman" w:cs="Times New Roman"/>
          <w:color w:val="000000"/>
          <w:sz w:val="24"/>
          <w:szCs w:val="24"/>
          <w:shd w:val="clear" w:color="auto" w:fill="FFFFFF"/>
          <w:lang w:val="en-US"/>
        </w:rPr>
        <w:t xml:space="preserve">The thrombin generation test (TGT) as an integral method for analyzing the activation cascade of natural pro- and anticoagulants is of practical importance in assessing the risk of thrombotic conditions and bleeding. However, the application of the method is limited by the lack of standardization. </w:t>
      </w:r>
      <w:r w:rsidR="00CA33DE" w:rsidRPr="00CA33DE">
        <w:rPr>
          <w:rFonts w:ascii="Times New Roman" w:hAnsi="Times New Roman" w:cs="Times New Roman"/>
          <w:b/>
          <w:color w:val="000000"/>
          <w:sz w:val="24"/>
          <w:szCs w:val="24"/>
          <w:shd w:val="clear" w:color="auto" w:fill="FFFFFF"/>
          <w:lang w:val="en-US"/>
        </w:rPr>
        <w:t>Aim</w:t>
      </w:r>
      <w:r w:rsidR="00CA33DE" w:rsidRPr="00CA33DE">
        <w:rPr>
          <w:rFonts w:ascii="Times New Roman" w:hAnsi="Times New Roman" w:cs="Times New Roman"/>
          <w:color w:val="000000"/>
          <w:sz w:val="24"/>
          <w:szCs w:val="24"/>
          <w:shd w:val="clear" w:color="auto" w:fill="FFFFFF"/>
          <w:lang w:val="en-US"/>
        </w:rPr>
        <w:t>: to determine the reference intervals within the laboratory and to assess the interindividual variation in THT parameters in various technologies for its implementation.</w:t>
      </w:r>
      <w:r w:rsidR="00BB79CF" w:rsidRPr="00BB79CF">
        <w:rPr>
          <w:rFonts w:ascii="Times New Roman" w:hAnsi="Times New Roman" w:cs="Times New Roman"/>
          <w:color w:val="000000"/>
          <w:sz w:val="24"/>
          <w:szCs w:val="24"/>
          <w:shd w:val="clear" w:color="auto" w:fill="FFFFFF"/>
          <w:lang w:val="en-US"/>
        </w:rPr>
        <w:t xml:space="preserve"> </w:t>
      </w:r>
      <w:r w:rsidRPr="00BB79CF">
        <w:rPr>
          <w:rFonts w:ascii="Times New Roman" w:hAnsi="Times New Roman" w:cs="Times New Roman"/>
          <w:b/>
          <w:color w:val="000000"/>
          <w:sz w:val="24"/>
          <w:szCs w:val="24"/>
          <w:shd w:val="clear" w:color="auto" w:fill="FFFFFF"/>
          <w:lang w:val="en-US"/>
        </w:rPr>
        <w:t>Design and methods</w:t>
      </w:r>
      <w:r w:rsidRPr="00BB79CF">
        <w:rPr>
          <w:rFonts w:ascii="Times New Roman" w:hAnsi="Times New Roman" w:cs="Times New Roman"/>
          <w:color w:val="000000"/>
          <w:sz w:val="24"/>
          <w:szCs w:val="24"/>
          <w:shd w:val="clear" w:color="auto" w:fill="FFFFFF"/>
          <w:lang w:val="en-US"/>
        </w:rPr>
        <w:t xml:space="preserve">. </w:t>
      </w:r>
      <w:r w:rsidR="00CA33DE" w:rsidRPr="00CA33DE">
        <w:rPr>
          <w:rFonts w:ascii="Times New Roman" w:hAnsi="Times New Roman" w:cs="Times New Roman"/>
          <w:color w:val="000000"/>
          <w:sz w:val="24"/>
          <w:szCs w:val="24"/>
          <w:shd w:val="clear" w:color="auto" w:fill="FFFFFF"/>
          <w:lang w:val="en-US"/>
        </w:rPr>
        <w:t>The study included 20 donors (46.13 [38.75-54.50] years, 11 men, 9 women). T</w:t>
      </w:r>
      <w:r w:rsidR="00CA33DE">
        <w:rPr>
          <w:rFonts w:ascii="Times New Roman" w:hAnsi="Times New Roman" w:cs="Times New Roman"/>
          <w:color w:val="000000"/>
          <w:sz w:val="24"/>
          <w:szCs w:val="24"/>
          <w:shd w:val="clear" w:color="auto" w:fill="FFFFFF"/>
          <w:lang w:val="en-US"/>
        </w:rPr>
        <w:t>G</w:t>
      </w:r>
      <w:r w:rsidR="00CA33DE" w:rsidRPr="00CA33DE">
        <w:rPr>
          <w:rFonts w:ascii="Times New Roman" w:hAnsi="Times New Roman" w:cs="Times New Roman"/>
          <w:color w:val="000000"/>
          <w:sz w:val="24"/>
          <w:szCs w:val="24"/>
          <w:shd w:val="clear" w:color="auto" w:fill="FFFFFF"/>
          <w:lang w:val="en-US"/>
        </w:rPr>
        <w:t>T was performed using two technologies: a calibrated automated thrombogram on a semi-automatic fluorimeter (CAT, Technology 1) (Fluoroscan Ascent, ThermoFisher Scientific, USA) and automatic HT measurement on a Ceveron Alpha TGA coagulometer (Technoclone, Austria) (Technology 2). Standard TGT values were calculated. The results obtained were normalized against pooled normal plasma (PNP).</w:t>
      </w:r>
      <w:r w:rsidRPr="00BB79CF">
        <w:rPr>
          <w:rFonts w:ascii="Times New Roman" w:hAnsi="Times New Roman" w:cs="Times New Roman"/>
          <w:b/>
          <w:color w:val="000000"/>
          <w:sz w:val="24"/>
          <w:szCs w:val="24"/>
          <w:shd w:val="clear" w:color="auto" w:fill="FFFFFF"/>
          <w:lang w:val="en-US"/>
        </w:rPr>
        <w:t xml:space="preserve">Results. </w:t>
      </w:r>
      <w:r w:rsidR="00CA33DE" w:rsidRPr="00CA33DE">
        <w:rPr>
          <w:rFonts w:ascii="Times New Roman" w:hAnsi="Times New Roman" w:cs="Times New Roman"/>
          <w:color w:val="000000"/>
          <w:sz w:val="24"/>
          <w:szCs w:val="24"/>
          <w:shd w:val="clear" w:color="auto" w:fill="FFFFFF"/>
          <w:lang w:val="en-US"/>
        </w:rPr>
        <w:t xml:space="preserve">Thrombogram parameters showed a high CVG (coefficient of interindividual variation): from 14 to 32% for Technology 1 and from 7 to 36% for Technology 2. CVG did not </w:t>
      </w:r>
      <w:r w:rsidR="00CA33DE" w:rsidRPr="00CA33DE">
        <w:rPr>
          <w:rFonts w:ascii="Times New Roman" w:hAnsi="Times New Roman" w:cs="Times New Roman"/>
          <w:color w:val="000000"/>
          <w:sz w:val="24"/>
          <w:szCs w:val="24"/>
          <w:shd w:val="clear" w:color="auto" w:fill="FFFFFF"/>
          <w:lang w:val="en-US"/>
        </w:rPr>
        <w:lastRenderedPageBreak/>
        <w:t>change signifi</w:t>
      </w:r>
      <w:r w:rsidR="00CA33DE">
        <w:rPr>
          <w:rFonts w:ascii="Times New Roman" w:hAnsi="Times New Roman" w:cs="Times New Roman"/>
          <w:color w:val="000000"/>
          <w:sz w:val="24"/>
          <w:szCs w:val="24"/>
          <w:shd w:val="clear" w:color="auto" w:fill="FFFFFF"/>
          <w:lang w:val="en-US"/>
        </w:rPr>
        <w:t>cantly after normalization of TG</w:t>
      </w:r>
      <w:r w:rsidR="00CA33DE" w:rsidRPr="00CA33DE">
        <w:rPr>
          <w:rFonts w:ascii="Times New Roman" w:hAnsi="Times New Roman" w:cs="Times New Roman"/>
          <w:color w:val="000000"/>
          <w:sz w:val="24"/>
          <w:szCs w:val="24"/>
          <w:shd w:val="clear" w:color="auto" w:fill="FFFFFF"/>
          <w:lang w:val="en-US"/>
        </w:rPr>
        <w:t>T data. Significant differences in the key indicator ETP (endogenous thrombin potential) were noted both in absolute and normalized values. Reference intervals (RI) for Technology 1 were: ET</w:t>
      </w:r>
      <w:r w:rsidR="00CA33DE">
        <w:rPr>
          <w:rFonts w:ascii="Times New Roman" w:hAnsi="Times New Roman" w:cs="Times New Roman"/>
          <w:color w:val="000000"/>
          <w:sz w:val="24"/>
          <w:szCs w:val="24"/>
          <w:shd w:val="clear" w:color="auto" w:fill="FFFFFF"/>
          <w:lang w:val="en-US"/>
        </w:rPr>
        <w:t>P 1478.0-2595.0 nmol/</w:t>
      </w:r>
      <w:r w:rsidR="00CA33DE" w:rsidRPr="00CA33DE">
        <w:rPr>
          <w:rFonts w:ascii="Times New Roman" w:hAnsi="Times New Roman" w:cs="Times New Roman"/>
          <w:color w:val="000000"/>
          <w:sz w:val="24"/>
          <w:szCs w:val="24"/>
          <w:shd w:val="clear" w:color="auto" w:fill="FFFFFF"/>
          <w:lang w:val="en-US"/>
        </w:rPr>
        <w:t>min and peak thrombin concentratio</w:t>
      </w:r>
      <w:r w:rsidR="00CA33DE">
        <w:rPr>
          <w:rFonts w:ascii="Times New Roman" w:hAnsi="Times New Roman" w:cs="Times New Roman"/>
          <w:color w:val="000000"/>
          <w:sz w:val="24"/>
          <w:szCs w:val="24"/>
          <w:shd w:val="clear" w:color="auto" w:fill="FFFFFF"/>
          <w:lang w:val="en-US"/>
        </w:rPr>
        <w:t>n (Peak thr.) 221.6-412.0 nmol</w:t>
      </w:r>
      <w:r w:rsidR="00CA33DE" w:rsidRPr="00CA33DE">
        <w:rPr>
          <w:rFonts w:ascii="Times New Roman" w:hAnsi="Times New Roman" w:cs="Times New Roman"/>
          <w:color w:val="000000"/>
          <w:sz w:val="24"/>
          <w:szCs w:val="24"/>
          <w:shd w:val="clear" w:color="auto" w:fill="FFFFFF"/>
          <w:lang w:val="en-US"/>
        </w:rPr>
        <w:t>. RI for Technology 2: ETP 2451.00-3161.0</w:t>
      </w:r>
      <w:r w:rsidR="00CA33DE">
        <w:rPr>
          <w:rFonts w:ascii="Times New Roman" w:hAnsi="Times New Roman" w:cs="Times New Roman"/>
          <w:color w:val="000000"/>
          <w:sz w:val="24"/>
          <w:szCs w:val="24"/>
          <w:shd w:val="clear" w:color="auto" w:fill="FFFFFF"/>
          <w:lang w:val="en-US"/>
        </w:rPr>
        <w:t>0 nmol/</w:t>
      </w:r>
      <w:r w:rsidR="00CA33DE" w:rsidRPr="00CA33DE">
        <w:rPr>
          <w:rFonts w:ascii="Times New Roman" w:hAnsi="Times New Roman" w:cs="Times New Roman"/>
          <w:color w:val="000000"/>
          <w:sz w:val="24"/>
          <w:szCs w:val="24"/>
          <w:shd w:val="clear" w:color="auto" w:fill="FFFFFF"/>
          <w:lang w:val="en-US"/>
        </w:rPr>
        <w:t>min an</w:t>
      </w:r>
      <w:r w:rsidR="00CA33DE">
        <w:rPr>
          <w:rFonts w:ascii="Times New Roman" w:hAnsi="Times New Roman" w:cs="Times New Roman"/>
          <w:color w:val="000000"/>
          <w:sz w:val="24"/>
          <w:szCs w:val="24"/>
          <w:shd w:val="clear" w:color="auto" w:fill="FFFFFF"/>
          <w:lang w:val="en-US"/>
        </w:rPr>
        <w:t>d Peak thr. 161.60-479.30 nmol</w:t>
      </w:r>
      <w:r w:rsidR="00CA33DE" w:rsidRPr="00CA33DE">
        <w:rPr>
          <w:rFonts w:ascii="Times New Roman" w:hAnsi="Times New Roman" w:cs="Times New Roman"/>
          <w:color w:val="000000"/>
          <w:sz w:val="24"/>
          <w:szCs w:val="24"/>
          <w:shd w:val="clear" w:color="auto" w:fill="FFFFFF"/>
          <w:lang w:val="en-US"/>
        </w:rPr>
        <w:t>.</w:t>
      </w:r>
      <w:r w:rsidR="00362EE1">
        <w:rPr>
          <w:rFonts w:ascii="Times New Roman" w:hAnsi="Times New Roman" w:cs="Times New Roman"/>
          <w:color w:val="000000"/>
          <w:sz w:val="24"/>
          <w:szCs w:val="24"/>
          <w:shd w:val="clear" w:color="auto" w:fill="FFFFFF"/>
          <w:lang w:val="en-US"/>
        </w:rPr>
        <w:t xml:space="preserve"> </w:t>
      </w:r>
      <w:r w:rsidRPr="00BB79CF">
        <w:rPr>
          <w:rFonts w:ascii="Times New Roman" w:hAnsi="Times New Roman" w:cs="Times New Roman"/>
          <w:b/>
          <w:color w:val="000000"/>
          <w:sz w:val="24"/>
          <w:szCs w:val="24"/>
          <w:shd w:val="clear" w:color="auto" w:fill="FFFFFF"/>
          <w:lang w:val="en-US"/>
        </w:rPr>
        <w:t xml:space="preserve">Conclusion. </w:t>
      </w:r>
      <w:r w:rsidR="00CA33DE" w:rsidRPr="00CA33DE">
        <w:rPr>
          <w:rFonts w:ascii="Times New Roman" w:hAnsi="Times New Roman" w:cs="Times New Roman"/>
          <w:color w:val="000000"/>
          <w:sz w:val="24"/>
          <w:szCs w:val="24"/>
          <w:shd w:val="clear" w:color="auto" w:fill="FFFFFF"/>
          <w:lang w:val="en-US"/>
        </w:rPr>
        <w:t>Comparison of the t</w:t>
      </w:r>
      <w:r w:rsidR="00CA33DE">
        <w:rPr>
          <w:rFonts w:ascii="Times New Roman" w:hAnsi="Times New Roman" w:cs="Times New Roman"/>
          <w:color w:val="000000"/>
          <w:sz w:val="24"/>
          <w:szCs w:val="24"/>
          <w:shd w:val="clear" w:color="auto" w:fill="FFFFFF"/>
          <w:lang w:val="en-US"/>
        </w:rPr>
        <w:t>wo laboratory technologies of TG</w:t>
      </w:r>
      <w:r w:rsidR="00CA33DE" w:rsidRPr="00CA33DE">
        <w:rPr>
          <w:rFonts w:ascii="Times New Roman" w:hAnsi="Times New Roman" w:cs="Times New Roman"/>
          <w:color w:val="000000"/>
          <w:sz w:val="24"/>
          <w:szCs w:val="24"/>
          <w:shd w:val="clear" w:color="auto" w:fill="FFFFFF"/>
          <w:lang w:val="en-US"/>
        </w:rPr>
        <w:t>T demonstrates high results of inter-individual variation. At the same time, the CVG of the ETP on the Ceveron Alpha TGA is two times lower than on a semi-automatic fluorimeter. Due to differences in the methods of set</w:t>
      </w:r>
      <w:r w:rsidR="00CA33DE">
        <w:rPr>
          <w:rFonts w:ascii="Times New Roman" w:hAnsi="Times New Roman" w:cs="Times New Roman"/>
          <w:color w:val="000000"/>
          <w:sz w:val="24"/>
          <w:szCs w:val="24"/>
          <w:shd w:val="clear" w:color="auto" w:fill="FFFFFF"/>
          <w:lang w:val="en-US"/>
        </w:rPr>
        <w:t xml:space="preserve">ting TGT, the absolute values </w:t>
      </w:r>
      <w:r w:rsidR="00CA33DE" w:rsidRPr="00CA33DE">
        <w:rPr>
          <w:rFonts w:ascii="Times New Roman" w:hAnsi="Times New Roman" w:cs="Times New Roman"/>
          <w:color w:val="000000"/>
          <w:sz w:val="24"/>
          <w:szCs w:val="24"/>
          <w:shd w:val="clear" w:color="auto" w:fill="FFFFFF"/>
          <w:lang w:val="en-US"/>
        </w:rPr>
        <w:t>of individual parameters differ statistically significantly, with the exception of LT, which reflects the sensitivity of technologies to the generation of the starting amount of thrombin.</w:t>
      </w:r>
      <w:r w:rsidR="00CA33DE">
        <w:rPr>
          <w:rFonts w:ascii="Times New Roman" w:hAnsi="Times New Roman" w:cs="Times New Roman"/>
          <w:color w:val="000000"/>
          <w:sz w:val="24"/>
          <w:szCs w:val="24"/>
          <w:shd w:val="clear" w:color="auto" w:fill="FFFFFF"/>
          <w:lang w:val="en-US"/>
        </w:rPr>
        <w:t xml:space="preserve"> Thus, TG</w:t>
      </w:r>
      <w:r w:rsidR="00CA33DE" w:rsidRPr="00CA33DE">
        <w:rPr>
          <w:rFonts w:ascii="Times New Roman" w:hAnsi="Times New Roman" w:cs="Times New Roman"/>
          <w:color w:val="000000"/>
          <w:sz w:val="24"/>
          <w:szCs w:val="24"/>
          <w:shd w:val="clear" w:color="auto" w:fill="FFFFFF"/>
          <w:lang w:val="en-US"/>
        </w:rPr>
        <w:t>T parameters are individual and the use of a study in dynamics for each specific individual is likely to be more informative than the use of RI obtained in the general population. Dynamic monitoring of the patient should be performed using the same technology.</w:t>
      </w:r>
    </w:p>
    <w:p w14:paraId="6FF0976A" w14:textId="77777777" w:rsidR="00BB79CF" w:rsidRPr="00BB79CF" w:rsidRDefault="00BB79CF" w:rsidP="0040071C">
      <w:pPr>
        <w:spacing w:line="240" w:lineRule="auto"/>
        <w:contextualSpacing/>
        <w:jc w:val="both"/>
        <w:rPr>
          <w:rFonts w:ascii="Times New Roman" w:hAnsi="Times New Roman" w:cs="Times New Roman"/>
          <w:i/>
          <w:sz w:val="24"/>
          <w:szCs w:val="24"/>
          <w:lang w:val="en-US"/>
        </w:rPr>
      </w:pPr>
    </w:p>
    <w:p w14:paraId="162D90C8" w14:textId="0225B8CC" w:rsidR="00A066FB" w:rsidRPr="0092756D" w:rsidRDefault="00A066FB" w:rsidP="0040071C">
      <w:pPr>
        <w:spacing w:after="0" w:line="240" w:lineRule="auto"/>
        <w:contextualSpacing/>
        <w:jc w:val="both"/>
        <w:rPr>
          <w:rFonts w:ascii="Times New Roman" w:hAnsi="Times New Roman" w:cs="Times New Roman"/>
          <w:sz w:val="24"/>
          <w:szCs w:val="24"/>
          <w:lang w:val="en-US"/>
        </w:rPr>
      </w:pPr>
      <w:r w:rsidRPr="00BB79CF">
        <w:rPr>
          <w:rFonts w:ascii="Times New Roman" w:hAnsi="Times New Roman" w:cs="Times New Roman"/>
          <w:b/>
          <w:sz w:val="24"/>
          <w:szCs w:val="24"/>
          <w:lang w:val="en-US"/>
        </w:rPr>
        <w:t>Key words:</w:t>
      </w:r>
      <w:r w:rsidRPr="00BB79CF">
        <w:rPr>
          <w:rFonts w:ascii="Times New Roman" w:hAnsi="Times New Roman" w:cs="Times New Roman"/>
          <w:sz w:val="24"/>
          <w:szCs w:val="24"/>
          <w:lang w:val="en-US"/>
        </w:rPr>
        <w:t xml:space="preserve"> </w:t>
      </w:r>
      <w:r w:rsidR="0092756D" w:rsidRPr="00BB79CF">
        <w:rPr>
          <w:rFonts w:ascii="Times New Roman" w:hAnsi="Times New Roman" w:cs="Times New Roman"/>
          <w:sz w:val="24"/>
          <w:szCs w:val="24"/>
          <w:lang w:val="en-US"/>
        </w:rPr>
        <w:t xml:space="preserve"> </w:t>
      </w:r>
      <w:r w:rsidR="00BB79CF" w:rsidRPr="00BB79CF">
        <w:rPr>
          <w:rFonts w:ascii="Times New Roman" w:hAnsi="Times New Roman" w:cs="Times New Roman"/>
          <w:sz w:val="24"/>
          <w:szCs w:val="24"/>
          <w:lang w:val="en-US"/>
        </w:rPr>
        <w:t>thrombin</w:t>
      </w:r>
      <w:r w:rsidR="00BB79CF">
        <w:rPr>
          <w:rFonts w:ascii="Times New Roman" w:hAnsi="Times New Roman" w:cs="Times New Roman"/>
          <w:sz w:val="24"/>
          <w:szCs w:val="24"/>
          <w:lang w:val="en-US"/>
        </w:rPr>
        <w:t xml:space="preserve"> generation, calibrated automated thrombogram, </w:t>
      </w:r>
      <w:r w:rsidRPr="00BB79CF">
        <w:rPr>
          <w:rFonts w:ascii="Times New Roman" w:hAnsi="Times New Roman" w:cs="Times New Roman"/>
          <w:sz w:val="24"/>
          <w:szCs w:val="24"/>
          <w:lang w:val="en-US"/>
        </w:rPr>
        <w:t>thrombin</w:t>
      </w:r>
      <w:r w:rsidR="0092756D" w:rsidRPr="00BB79CF">
        <w:rPr>
          <w:rFonts w:ascii="Times New Roman" w:hAnsi="Times New Roman" w:cs="Times New Roman"/>
          <w:sz w:val="24"/>
          <w:szCs w:val="24"/>
          <w:lang w:val="en-US"/>
        </w:rPr>
        <w:t xml:space="preserve"> generation test, reference intervals</w:t>
      </w:r>
    </w:p>
    <w:p w14:paraId="6D17F4B6" w14:textId="77777777" w:rsidR="0092756D" w:rsidRDefault="0092756D" w:rsidP="0040071C">
      <w:pPr>
        <w:spacing w:after="0" w:line="240" w:lineRule="auto"/>
        <w:contextualSpacing/>
        <w:jc w:val="both"/>
        <w:rPr>
          <w:rFonts w:ascii="Times New Roman" w:hAnsi="Times New Roman" w:cs="Times New Roman"/>
          <w:i/>
          <w:sz w:val="24"/>
          <w:szCs w:val="24"/>
          <w:lang w:val="en-US"/>
        </w:rPr>
      </w:pPr>
    </w:p>
    <w:p w14:paraId="4B13E2D4" w14:textId="77777777" w:rsidR="0092756D" w:rsidRPr="00832D9A" w:rsidRDefault="0092756D" w:rsidP="0040071C">
      <w:pPr>
        <w:spacing w:after="0" w:line="240" w:lineRule="auto"/>
        <w:contextualSpacing/>
        <w:jc w:val="both"/>
        <w:rPr>
          <w:rFonts w:ascii="Times New Roman" w:eastAsiaTheme="minorEastAsia" w:hAnsi="Times New Roman" w:cs="Times New Roman"/>
          <w:i/>
          <w:sz w:val="24"/>
          <w:szCs w:val="24"/>
          <w:lang w:val="en-US"/>
        </w:rPr>
      </w:pPr>
      <w:r w:rsidRPr="00832D9A">
        <w:rPr>
          <w:rFonts w:ascii="Times New Roman" w:hAnsi="Times New Roman" w:cs="Times New Roman"/>
          <w:i/>
          <w:sz w:val="24"/>
          <w:szCs w:val="24"/>
          <w:lang w:val="en-US"/>
        </w:rPr>
        <w:t xml:space="preserve">For citation: Zolotova EA, </w:t>
      </w:r>
      <w:r w:rsidR="00832D9A" w:rsidRPr="00832D9A">
        <w:rPr>
          <w:rFonts w:ascii="Times New Roman" w:hAnsi="Times New Roman" w:cs="Times New Roman"/>
          <w:i/>
          <w:sz w:val="24"/>
          <w:szCs w:val="24"/>
          <w:lang w:val="en-US"/>
        </w:rPr>
        <w:t xml:space="preserve">Melnichnikova OS, </w:t>
      </w:r>
      <w:r w:rsidRPr="00832D9A">
        <w:rPr>
          <w:rFonts w:ascii="Times New Roman" w:hAnsi="Times New Roman" w:cs="Times New Roman"/>
          <w:i/>
          <w:sz w:val="24"/>
          <w:szCs w:val="24"/>
          <w:lang w:val="en-US"/>
        </w:rPr>
        <w:t xml:space="preserve">Simakova MA, </w:t>
      </w:r>
      <w:r w:rsidR="00832D9A" w:rsidRPr="00832D9A">
        <w:rPr>
          <w:rFonts w:ascii="Times New Roman" w:hAnsi="Times New Roman" w:cs="Times New Roman"/>
          <w:i/>
          <w:sz w:val="24"/>
          <w:szCs w:val="24"/>
          <w:lang w:val="en-US"/>
        </w:rPr>
        <w:t xml:space="preserve">Zhilenkova YuI, </w:t>
      </w:r>
      <w:r w:rsidRPr="00832D9A">
        <w:rPr>
          <w:rFonts w:ascii="Times New Roman" w:hAnsi="Times New Roman" w:cs="Times New Roman"/>
          <w:i/>
          <w:sz w:val="24"/>
          <w:szCs w:val="24"/>
          <w:lang w:val="en-US"/>
        </w:rPr>
        <w:t xml:space="preserve">Sirotkina OV, Vavilova TV. </w:t>
      </w:r>
      <w:r w:rsidR="00832D9A" w:rsidRPr="00832D9A">
        <w:rPr>
          <w:rFonts w:ascii="Times New Roman" w:eastAsiaTheme="minorEastAsia" w:hAnsi="Times New Roman" w:cs="Times New Roman"/>
          <w:i/>
          <w:sz w:val="24"/>
          <w:szCs w:val="24"/>
          <w:lang w:val="en-US"/>
        </w:rPr>
        <w:t>Analysis of inter-individual variation and reference intervals of thrombin generation test indicators using different technologies.</w:t>
      </w:r>
      <w:r w:rsidRPr="00832D9A">
        <w:rPr>
          <w:rFonts w:ascii="Times New Roman" w:eastAsiaTheme="minorEastAsia" w:hAnsi="Times New Roman" w:cs="Times New Roman"/>
          <w:i/>
          <w:sz w:val="24"/>
          <w:szCs w:val="24"/>
          <w:lang w:val="en-US"/>
        </w:rPr>
        <w:t xml:space="preserve"> </w:t>
      </w:r>
      <w:r w:rsidRPr="00832D9A">
        <w:rPr>
          <w:rFonts w:ascii="Times New Roman" w:hAnsi="Times New Roman" w:cs="Times New Roman"/>
          <w:i/>
          <w:sz w:val="24"/>
          <w:szCs w:val="24"/>
          <w:lang w:val="en-US"/>
        </w:rPr>
        <w:t>Translyatsionnaya meditsina=Translational Medicine.</w:t>
      </w:r>
      <w:r w:rsidRPr="00832D9A">
        <w:rPr>
          <w:rFonts w:ascii="Times New Roman" w:eastAsiaTheme="minorEastAsia" w:hAnsi="Times New Roman" w:cs="Times New Roman"/>
          <w:i/>
          <w:sz w:val="24"/>
          <w:szCs w:val="24"/>
          <w:lang w:val="en-US"/>
        </w:rPr>
        <w:t xml:space="preserve"> 2022;_ (_). _-_. (In Russ.) DOI:_</w:t>
      </w:r>
    </w:p>
    <w:p w14:paraId="54F1AA78" w14:textId="77777777" w:rsidR="0092756D" w:rsidRPr="00832D9A" w:rsidRDefault="0092756D" w:rsidP="0040071C">
      <w:pPr>
        <w:spacing w:after="0" w:line="240" w:lineRule="auto"/>
        <w:contextualSpacing/>
        <w:jc w:val="both"/>
        <w:rPr>
          <w:rFonts w:ascii="Times New Roman" w:eastAsiaTheme="minorEastAsia" w:hAnsi="Times New Roman" w:cs="Times New Roman"/>
          <w:i/>
          <w:sz w:val="24"/>
          <w:szCs w:val="24"/>
          <w:lang w:val="en-US"/>
        </w:rPr>
      </w:pPr>
    </w:p>
    <w:p w14:paraId="5625940F" w14:textId="2C7EB2C8" w:rsidR="0092756D" w:rsidRPr="00822A60" w:rsidRDefault="0092756D" w:rsidP="0040071C">
      <w:pPr>
        <w:spacing w:after="0" w:line="480" w:lineRule="auto"/>
        <w:ind w:firstLine="708"/>
        <w:contextualSpacing/>
        <w:jc w:val="both"/>
        <w:rPr>
          <w:rFonts w:ascii="Times New Roman" w:hAnsi="Times New Roman" w:cs="Times New Roman"/>
          <w:sz w:val="28"/>
          <w:szCs w:val="28"/>
          <w:lang w:val="en-US"/>
        </w:rPr>
      </w:pPr>
      <w:r>
        <w:rPr>
          <w:rFonts w:ascii="Times New Roman" w:hAnsi="Times New Roman" w:cs="Times New Roman"/>
          <w:b/>
          <w:sz w:val="28"/>
          <w:szCs w:val="28"/>
        </w:rPr>
        <w:t>Список</w:t>
      </w:r>
      <w:r w:rsidRPr="001F7783">
        <w:rPr>
          <w:rFonts w:ascii="Times New Roman" w:hAnsi="Times New Roman" w:cs="Times New Roman"/>
          <w:b/>
          <w:sz w:val="28"/>
          <w:szCs w:val="28"/>
          <w:lang w:val="en-US"/>
        </w:rPr>
        <w:t xml:space="preserve"> </w:t>
      </w:r>
      <w:r>
        <w:rPr>
          <w:rFonts w:ascii="Times New Roman" w:hAnsi="Times New Roman" w:cs="Times New Roman"/>
          <w:b/>
          <w:sz w:val="28"/>
          <w:szCs w:val="28"/>
        </w:rPr>
        <w:t>сокращений</w:t>
      </w:r>
      <w:r w:rsidRPr="001F7783">
        <w:rPr>
          <w:rFonts w:ascii="Times New Roman" w:hAnsi="Times New Roman" w:cs="Times New Roman"/>
          <w:b/>
          <w:sz w:val="28"/>
          <w:szCs w:val="28"/>
          <w:lang w:val="en-US"/>
        </w:rPr>
        <w:t>:</w:t>
      </w:r>
      <w:r w:rsidR="002A1FA4" w:rsidRPr="001F7783">
        <w:rPr>
          <w:rFonts w:ascii="Times New Roman" w:hAnsi="Times New Roman" w:cs="Times New Roman"/>
          <w:b/>
          <w:sz w:val="28"/>
          <w:szCs w:val="28"/>
          <w:lang w:val="en-US"/>
        </w:rPr>
        <w:t xml:space="preserve"> </w:t>
      </w:r>
      <w:r w:rsidR="00EA3C3A" w:rsidRPr="00EA3C3A">
        <w:rPr>
          <w:rFonts w:ascii="Times New Roman" w:hAnsi="Times New Roman" w:cs="Times New Roman"/>
          <w:sz w:val="28"/>
          <w:szCs w:val="28"/>
        </w:rPr>
        <w:t>ГТ</w:t>
      </w:r>
      <w:r w:rsidR="00EA3C3A" w:rsidRPr="001F7783">
        <w:rPr>
          <w:rFonts w:ascii="Times New Roman" w:hAnsi="Times New Roman" w:cs="Times New Roman"/>
          <w:sz w:val="28"/>
          <w:szCs w:val="28"/>
          <w:lang w:val="en-US"/>
        </w:rPr>
        <w:t xml:space="preserve"> — </w:t>
      </w:r>
      <w:r w:rsidR="00EA3C3A">
        <w:rPr>
          <w:rFonts w:ascii="Times New Roman" w:hAnsi="Times New Roman" w:cs="Times New Roman"/>
          <w:sz w:val="28"/>
          <w:szCs w:val="28"/>
        </w:rPr>
        <w:t>гене</w:t>
      </w:r>
      <w:r w:rsidR="00EA3C3A" w:rsidRPr="00EA3C3A">
        <w:rPr>
          <w:rFonts w:ascii="Times New Roman" w:hAnsi="Times New Roman" w:cs="Times New Roman"/>
          <w:sz w:val="28"/>
          <w:szCs w:val="28"/>
        </w:rPr>
        <w:t>рация</w:t>
      </w:r>
      <w:r w:rsidR="00EA3C3A" w:rsidRPr="001F7783">
        <w:rPr>
          <w:rFonts w:ascii="Times New Roman" w:hAnsi="Times New Roman" w:cs="Times New Roman"/>
          <w:sz w:val="28"/>
          <w:szCs w:val="28"/>
          <w:lang w:val="en-US"/>
        </w:rPr>
        <w:t xml:space="preserve"> </w:t>
      </w:r>
      <w:r w:rsidR="00EA3C3A" w:rsidRPr="00EA3C3A">
        <w:rPr>
          <w:rFonts w:ascii="Times New Roman" w:hAnsi="Times New Roman" w:cs="Times New Roman"/>
          <w:sz w:val="28"/>
          <w:szCs w:val="28"/>
        </w:rPr>
        <w:t>тромбина</w:t>
      </w:r>
      <w:r w:rsidR="00EA3C3A" w:rsidRPr="001F7783">
        <w:rPr>
          <w:rFonts w:ascii="Times New Roman" w:hAnsi="Times New Roman" w:cs="Times New Roman"/>
          <w:sz w:val="28"/>
          <w:szCs w:val="28"/>
          <w:lang w:val="en-US"/>
        </w:rPr>
        <w:t xml:space="preserve">, </w:t>
      </w:r>
      <w:r w:rsidR="00BF6C38">
        <w:rPr>
          <w:rFonts w:ascii="Times New Roman" w:hAnsi="Times New Roman" w:cs="Times New Roman"/>
          <w:sz w:val="28"/>
          <w:szCs w:val="28"/>
        </w:rPr>
        <w:t>КАТ</w:t>
      </w:r>
      <w:r w:rsidR="00BF6C38" w:rsidRPr="001F7783">
        <w:rPr>
          <w:rFonts w:ascii="Times New Roman" w:hAnsi="Times New Roman" w:cs="Times New Roman"/>
          <w:sz w:val="28"/>
          <w:szCs w:val="28"/>
          <w:lang w:val="en-US"/>
        </w:rPr>
        <w:t xml:space="preserve"> – </w:t>
      </w:r>
      <w:r w:rsidR="00BF6C38">
        <w:rPr>
          <w:rFonts w:ascii="Times New Roman" w:hAnsi="Times New Roman" w:cs="Times New Roman"/>
          <w:sz w:val="28"/>
          <w:szCs w:val="28"/>
        </w:rPr>
        <w:t>калиброванная</w:t>
      </w:r>
      <w:r w:rsidR="00BF6C38" w:rsidRPr="001F7783">
        <w:rPr>
          <w:rFonts w:ascii="Times New Roman" w:hAnsi="Times New Roman" w:cs="Times New Roman"/>
          <w:sz w:val="28"/>
          <w:szCs w:val="28"/>
          <w:lang w:val="en-US"/>
        </w:rPr>
        <w:t xml:space="preserve"> </w:t>
      </w:r>
      <w:r w:rsidR="00BF6C38">
        <w:rPr>
          <w:rFonts w:ascii="Times New Roman" w:hAnsi="Times New Roman" w:cs="Times New Roman"/>
          <w:sz w:val="28"/>
          <w:szCs w:val="28"/>
        </w:rPr>
        <w:t>автоматизированная</w:t>
      </w:r>
      <w:r w:rsidR="00BF6C38" w:rsidRPr="001F7783">
        <w:rPr>
          <w:rFonts w:ascii="Times New Roman" w:hAnsi="Times New Roman" w:cs="Times New Roman"/>
          <w:sz w:val="28"/>
          <w:szCs w:val="28"/>
          <w:lang w:val="en-US"/>
        </w:rPr>
        <w:t xml:space="preserve"> </w:t>
      </w:r>
      <w:r w:rsidR="00BF6C38">
        <w:rPr>
          <w:rFonts w:ascii="Times New Roman" w:hAnsi="Times New Roman" w:cs="Times New Roman"/>
          <w:sz w:val="28"/>
          <w:szCs w:val="28"/>
        </w:rPr>
        <w:t>тромбограмма</w:t>
      </w:r>
      <w:r w:rsidR="00BF6C38" w:rsidRPr="001F7783">
        <w:rPr>
          <w:rFonts w:ascii="Times New Roman" w:hAnsi="Times New Roman" w:cs="Times New Roman"/>
          <w:sz w:val="28"/>
          <w:szCs w:val="28"/>
          <w:lang w:val="en-US"/>
        </w:rPr>
        <w:t xml:space="preserve">, </w:t>
      </w:r>
      <w:r w:rsidR="00EA3C3A" w:rsidRPr="00EA3C3A">
        <w:rPr>
          <w:rFonts w:ascii="Times New Roman" w:hAnsi="Times New Roman" w:cs="Times New Roman"/>
          <w:sz w:val="28"/>
          <w:szCs w:val="28"/>
        </w:rPr>
        <w:t>ТГТ</w:t>
      </w:r>
      <w:r w:rsidR="00EA3C3A" w:rsidRPr="001F7783">
        <w:rPr>
          <w:rFonts w:ascii="Times New Roman" w:hAnsi="Times New Roman" w:cs="Times New Roman"/>
          <w:sz w:val="28"/>
          <w:szCs w:val="28"/>
          <w:lang w:val="en-US"/>
        </w:rPr>
        <w:t xml:space="preserve"> — </w:t>
      </w:r>
      <w:r w:rsidR="00EA3C3A" w:rsidRPr="00EA3C3A">
        <w:rPr>
          <w:rFonts w:ascii="Times New Roman" w:hAnsi="Times New Roman" w:cs="Times New Roman"/>
          <w:sz w:val="28"/>
          <w:szCs w:val="28"/>
        </w:rPr>
        <w:t>тест</w:t>
      </w:r>
      <w:r w:rsidR="00EA3C3A" w:rsidRPr="001F7783">
        <w:rPr>
          <w:rFonts w:ascii="Times New Roman" w:hAnsi="Times New Roman" w:cs="Times New Roman"/>
          <w:sz w:val="28"/>
          <w:szCs w:val="28"/>
          <w:lang w:val="en-US"/>
        </w:rPr>
        <w:t xml:space="preserve"> </w:t>
      </w:r>
      <w:r w:rsidR="00EA3C3A" w:rsidRPr="00EA3C3A">
        <w:rPr>
          <w:rFonts w:ascii="Times New Roman" w:hAnsi="Times New Roman" w:cs="Times New Roman"/>
          <w:sz w:val="28"/>
          <w:szCs w:val="28"/>
        </w:rPr>
        <w:t>генерации</w:t>
      </w:r>
      <w:r w:rsidR="00EA3C3A" w:rsidRPr="001F7783">
        <w:rPr>
          <w:rFonts w:ascii="Times New Roman" w:hAnsi="Times New Roman" w:cs="Times New Roman"/>
          <w:sz w:val="28"/>
          <w:szCs w:val="28"/>
          <w:lang w:val="en-US"/>
        </w:rPr>
        <w:t xml:space="preserve"> </w:t>
      </w:r>
      <w:r w:rsidR="00EA3C3A" w:rsidRPr="00EA3C3A">
        <w:rPr>
          <w:rFonts w:ascii="Times New Roman" w:hAnsi="Times New Roman" w:cs="Times New Roman"/>
          <w:sz w:val="28"/>
          <w:szCs w:val="28"/>
        </w:rPr>
        <w:t>тромбина</w:t>
      </w:r>
      <w:r w:rsidR="00EA3C3A" w:rsidRPr="001F7783">
        <w:rPr>
          <w:rFonts w:ascii="Times New Roman" w:hAnsi="Times New Roman" w:cs="Times New Roman"/>
          <w:sz w:val="28"/>
          <w:szCs w:val="28"/>
          <w:lang w:val="en-US"/>
        </w:rPr>
        <w:t xml:space="preserve">, </w:t>
      </w:r>
      <w:r w:rsidR="00EA3C3A" w:rsidRPr="006968C3">
        <w:rPr>
          <w:rFonts w:ascii="Times New Roman" w:hAnsi="Times New Roman" w:cs="Times New Roman"/>
          <w:sz w:val="28"/>
          <w:szCs w:val="28"/>
          <w:lang w:val="en-US"/>
        </w:rPr>
        <w:t>T</w:t>
      </w:r>
      <w:r w:rsidR="00EA3C3A" w:rsidRPr="00EA3C3A">
        <w:rPr>
          <w:rFonts w:ascii="Times New Roman" w:hAnsi="Times New Roman" w:cs="Times New Roman"/>
          <w:sz w:val="28"/>
          <w:szCs w:val="28"/>
        </w:rPr>
        <w:t>Ф</w:t>
      </w:r>
      <w:r w:rsidR="00EA3C3A" w:rsidRPr="001F7783">
        <w:rPr>
          <w:rFonts w:ascii="Times New Roman" w:hAnsi="Times New Roman" w:cs="Times New Roman"/>
          <w:sz w:val="28"/>
          <w:szCs w:val="28"/>
          <w:lang w:val="en-US"/>
        </w:rPr>
        <w:t xml:space="preserve"> — </w:t>
      </w:r>
      <w:r w:rsidR="00EA3C3A" w:rsidRPr="00EA3C3A">
        <w:rPr>
          <w:rFonts w:ascii="Times New Roman" w:hAnsi="Times New Roman" w:cs="Times New Roman"/>
          <w:sz w:val="28"/>
          <w:szCs w:val="28"/>
        </w:rPr>
        <w:t>тканевой</w:t>
      </w:r>
      <w:r w:rsidR="00EA3C3A" w:rsidRPr="001F7783">
        <w:rPr>
          <w:rFonts w:ascii="Times New Roman" w:hAnsi="Times New Roman" w:cs="Times New Roman"/>
          <w:sz w:val="28"/>
          <w:szCs w:val="28"/>
          <w:lang w:val="en-US"/>
        </w:rPr>
        <w:t xml:space="preserve"> </w:t>
      </w:r>
      <w:r w:rsidR="00EA3C3A" w:rsidRPr="00EA3C3A">
        <w:rPr>
          <w:rFonts w:ascii="Times New Roman" w:hAnsi="Times New Roman" w:cs="Times New Roman"/>
          <w:sz w:val="28"/>
          <w:szCs w:val="28"/>
        </w:rPr>
        <w:t>фактор</w:t>
      </w:r>
      <w:r w:rsidR="00EA3C3A" w:rsidRPr="001F7783">
        <w:rPr>
          <w:rFonts w:ascii="Times New Roman" w:hAnsi="Times New Roman" w:cs="Times New Roman"/>
          <w:sz w:val="28"/>
          <w:szCs w:val="28"/>
          <w:lang w:val="en-US"/>
        </w:rPr>
        <w:t xml:space="preserve">, </w:t>
      </w:r>
      <w:r w:rsidR="00EA3C3A" w:rsidRPr="006968C3">
        <w:rPr>
          <w:rFonts w:ascii="Times New Roman" w:hAnsi="Times New Roman" w:cs="Times New Roman"/>
          <w:sz w:val="28"/>
          <w:szCs w:val="28"/>
          <w:lang w:val="en-US"/>
        </w:rPr>
        <w:t>ETP</w:t>
      </w:r>
      <w:r w:rsidR="00EA3C3A" w:rsidRPr="001F7783">
        <w:rPr>
          <w:rFonts w:ascii="Times New Roman" w:hAnsi="Times New Roman" w:cs="Times New Roman"/>
          <w:sz w:val="28"/>
          <w:szCs w:val="28"/>
          <w:lang w:val="en-US"/>
        </w:rPr>
        <w:t xml:space="preserve"> (</w:t>
      </w:r>
      <w:r w:rsidR="00EA3C3A" w:rsidRPr="00EA3C3A">
        <w:rPr>
          <w:rFonts w:ascii="Times New Roman" w:hAnsi="Times New Roman" w:cs="Times New Roman"/>
          <w:sz w:val="28"/>
          <w:szCs w:val="28"/>
        </w:rPr>
        <w:t>от</w:t>
      </w:r>
      <w:r w:rsidR="00EA3C3A" w:rsidRPr="001F7783">
        <w:rPr>
          <w:rFonts w:ascii="Times New Roman" w:hAnsi="Times New Roman" w:cs="Times New Roman"/>
          <w:sz w:val="28"/>
          <w:szCs w:val="28"/>
          <w:lang w:val="en-US"/>
        </w:rPr>
        <w:t xml:space="preserve"> </w:t>
      </w:r>
      <w:r w:rsidR="00EA3C3A" w:rsidRPr="00EA3C3A">
        <w:rPr>
          <w:rFonts w:ascii="Times New Roman" w:hAnsi="Times New Roman" w:cs="Times New Roman"/>
          <w:sz w:val="28"/>
          <w:szCs w:val="28"/>
        </w:rPr>
        <w:t>англ</w:t>
      </w:r>
      <w:r w:rsidR="00EA3C3A" w:rsidRPr="001F7783">
        <w:rPr>
          <w:rFonts w:ascii="Times New Roman" w:hAnsi="Times New Roman" w:cs="Times New Roman"/>
          <w:sz w:val="28"/>
          <w:szCs w:val="28"/>
          <w:lang w:val="en-US"/>
        </w:rPr>
        <w:t xml:space="preserve">. </w:t>
      </w:r>
      <w:r w:rsidR="00EA3C3A" w:rsidRPr="00EA3C3A">
        <w:rPr>
          <w:rFonts w:ascii="Times New Roman" w:hAnsi="Times New Roman" w:cs="Times New Roman"/>
          <w:sz w:val="28"/>
          <w:szCs w:val="28"/>
          <w:lang w:val="en-US"/>
        </w:rPr>
        <w:t>endogenous</w:t>
      </w:r>
      <w:r w:rsidR="00EA3C3A" w:rsidRPr="001F7783">
        <w:rPr>
          <w:rFonts w:ascii="Times New Roman" w:hAnsi="Times New Roman" w:cs="Times New Roman"/>
          <w:sz w:val="28"/>
          <w:szCs w:val="28"/>
          <w:lang w:val="en-US"/>
        </w:rPr>
        <w:t xml:space="preserve"> </w:t>
      </w:r>
      <w:r w:rsidR="00EA3C3A" w:rsidRPr="00EA3C3A">
        <w:rPr>
          <w:rFonts w:ascii="Times New Roman" w:hAnsi="Times New Roman" w:cs="Times New Roman"/>
          <w:sz w:val="28"/>
          <w:szCs w:val="28"/>
          <w:lang w:val="en-US"/>
        </w:rPr>
        <w:t>thrombin</w:t>
      </w:r>
      <w:r w:rsidR="00EA3C3A" w:rsidRPr="001F7783">
        <w:rPr>
          <w:rFonts w:ascii="Times New Roman" w:hAnsi="Times New Roman" w:cs="Times New Roman"/>
          <w:sz w:val="28"/>
          <w:szCs w:val="28"/>
          <w:lang w:val="en-US"/>
        </w:rPr>
        <w:t xml:space="preserve"> </w:t>
      </w:r>
      <w:r w:rsidR="00EA3C3A" w:rsidRPr="00EA3C3A">
        <w:rPr>
          <w:rFonts w:ascii="Times New Roman" w:hAnsi="Times New Roman" w:cs="Times New Roman"/>
          <w:sz w:val="28"/>
          <w:szCs w:val="28"/>
          <w:lang w:val="en-US"/>
        </w:rPr>
        <w:t>potential</w:t>
      </w:r>
      <w:r w:rsidR="00EA3C3A" w:rsidRPr="001F7783">
        <w:rPr>
          <w:rFonts w:ascii="Times New Roman" w:hAnsi="Times New Roman" w:cs="Times New Roman"/>
          <w:sz w:val="28"/>
          <w:szCs w:val="28"/>
          <w:lang w:val="en-US"/>
        </w:rPr>
        <w:t xml:space="preserve">) — </w:t>
      </w:r>
      <w:r w:rsidR="00EA3C3A" w:rsidRPr="00EA3C3A">
        <w:rPr>
          <w:rFonts w:ascii="Times New Roman" w:hAnsi="Times New Roman" w:cs="Times New Roman"/>
          <w:sz w:val="28"/>
          <w:szCs w:val="28"/>
        </w:rPr>
        <w:t>эндогенный</w:t>
      </w:r>
      <w:r w:rsidR="00EA3C3A" w:rsidRPr="001F7783">
        <w:rPr>
          <w:rFonts w:ascii="Times New Roman" w:hAnsi="Times New Roman" w:cs="Times New Roman"/>
          <w:sz w:val="28"/>
          <w:szCs w:val="28"/>
          <w:lang w:val="en-US"/>
        </w:rPr>
        <w:t xml:space="preserve"> </w:t>
      </w:r>
      <w:r w:rsidR="00EA3C3A" w:rsidRPr="00EA3C3A">
        <w:rPr>
          <w:rFonts w:ascii="Times New Roman" w:hAnsi="Times New Roman" w:cs="Times New Roman"/>
          <w:sz w:val="28"/>
          <w:szCs w:val="28"/>
        </w:rPr>
        <w:t>тромбиновый</w:t>
      </w:r>
      <w:r w:rsidR="00EA3C3A" w:rsidRPr="001F7783">
        <w:rPr>
          <w:rFonts w:ascii="Times New Roman" w:hAnsi="Times New Roman" w:cs="Times New Roman"/>
          <w:sz w:val="28"/>
          <w:szCs w:val="28"/>
          <w:lang w:val="en-US"/>
        </w:rPr>
        <w:t xml:space="preserve"> </w:t>
      </w:r>
      <w:r w:rsidR="00EA3C3A" w:rsidRPr="00EA3C3A">
        <w:rPr>
          <w:rFonts w:ascii="Times New Roman" w:hAnsi="Times New Roman" w:cs="Times New Roman"/>
          <w:sz w:val="28"/>
          <w:szCs w:val="28"/>
        </w:rPr>
        <w:t>потенциа</w:t>
      </w:r>
      <w:r w:rsidR="00EA3C3A">
        <w:rPr>
          <w:rFonts w:ascii="Times New Roman" w:hAnsi="Times New Roman" w:cs="Times New Roman"/>
          <w:sz w:val="28"/>
          <w:szCs w:val="28"/>
        </w:rPr>
        <w:t>л</w:t>
      </w:r>
      <w:r w:rsidR="00EA3C3A" w:rsidRPr="001F7783">
        <w:rPr>
          <w:rFonts w:ascii="Times New Roman" w:hAnsi="Times New Roman" w:cs="Times New Roman"/>
          <w:sz w:val="28"/>
          <w:szCs w:val="28"/>
          <w:lang w:val="en-US"/>
        </w:rPr>
        <w:t xml:space="preserve">, </w:t>
      </w:r>
      <w:r w:rsidR="00EA3C3A" w:rsidRPr="006968C3">
        <w:rPr>
          <w:rFonts w:ascii="Times New Roman" w:hAnsi="Times New Roman" w:cs="Times New Roman"/>
          <w:sz w:val="28"/>
          <w:szCs w:val="28"/>
          <w:lang w:val="en-US"/>
        </w:rPr>
        <w:t>LT</w:t>
      </w:r>
      <w:r w:rsidR="00EA3C3A" w:rsidRPr="001F7783">
        <w:rPr>
          <w:rFonts w:ascii="Times New Roman" w:hAnsi="Times New Roman" w:cs="Times New Roman"/>
          <w:sz w:val="28"/>
          <w:szCs w:val="28"/>
          <w:lang w:val="en-US"/>
        </w:rPr>
        <w:t xml:space="preserve"> (</w:t>
      </w:r>
      <w:r w:rsidR="00EA3C3A">
        <w:rPr>
          <w:rFonts w:ascii="Times New Roman" w:hAnsi="Times New Roman" w:cs="Times New Roman"/>
          <w:sz w:val="28"/>
          <w:szCs w:val="28"/>
        </w:rPr>
        <w:t>от</w:t>
      </w:r>
      <w:r w:rsidR="00EA3C3A" w:rsidRPr="001F7783">
        <w:rPr>
          <w:rFonts w:ascii="Times New Roman" w:hAnsi="Times New Roman" w:cs="Times New Roman"/>
          <w:sz w:val="28"/>
          <w:szCs w:val="28"/>
          <w:lang w:val="en-US"/>
        </w:rPr>
        <w:t xml:space="preserve"> </w:t>
      </w:r>
      <w:r w:rsidR="00EA3C3A">
        <w:rPr>
          <w:rFonts w:ascii="Times New Roman" w:hAnsi="Times New Roman" w:cs="Times New Roman"/>
          <w:sz w:val="28"/>
          <w:szCs w:val="28"/>
        </w:rPr>
        <w:t>англ</w:t>
      </w:r>
      <w:r w:rsidR="00EA3C3A" w:rsidRPr="001F7783">
        <w:rPr>
          <w:rFonts w:ascii="Times New Roman" w:hAnsi="Times New Roman" w:cs="Times New Roman"/>
          <w:sz w:val="28"/>
          <w:szCs w:val="28"/>
          <w:lang w:val="en-US"/>
        </w:rPr>
        <w:t xml:space="preserve">. </w:t>
      </w:r>
      <w:r w:rsidR="00EA3C3A" w:rsidRPr="006968C3">
        <w:rPr>
          <w:rFonts w:ascii="Times New Roman" w:hAnsi="Times New Roman" w:cs="Times New Roman"/>
          <w:sz w:val="28"/>
          <w:szCs w:val="28"/>
          <w:lang w:val="en-US"/>
        </w:rPr>
        <w:t xml:space="preserve">Lag time) — </w:t>
      </w:r>
      <w:r w:rsidR="00EA3C3A">
        <w:rPr>
          <w:rFonts w:ascii="Times New Roman" w:hAnsi="Times New Roman" w:cs="Times New Roman"/>
          <w:sz w:val="28"/>
          <w:szCs w:val="28"/>
        </w:rPr>
        <w:t>вре</w:t>
      </w:r>
      <w:r w:rsidR="00EA3C3A" w:rsidRPr="00EA3C3A">
        <w:rPr>
          <w:rFonts w:ascii="Times New Roman" w:hAnsi="Times New Roman" w:cs="Times New Roman"/>
          <w:sz w:val="28"/>
          <w:szCs w:val="28"/>
        </w:rPr>
        <w:t>мя</w:t>
      </w:r>
      <w:r w:rsidR="00EA3C3A" w:rsidRPr="006968C3">
        <w:rPr>
          <w:rFonts w:ascii="Times New Roman" w:hAnsi="Times New Roman" w:cs="Times New Roman"/>
          <w:sz w:val="28"/>
          <w:szCs w:val="28"/>
          <w:lang w:val="en-US"/>
        </w:rPr>
        <w:t xml:space="preserve"> </w:t>
      </w:r>
      <w:r w:rsidR="00EA3C3A" w:rsidRPr="00EA3C3A">
        <w:rPr>
          <w:rFonts w:ascii="Times New Roman" w:hAnsi="Times New Roman" w:cs="Times New Roman"/>
          <w:sz w:val="28"/>
          <w:szCs w:val="28"/>
        </w:rPr>
        <w:t>инициации</w:t>
      </w:r>
      <w:r w:rsidR="00EA3C3A" w:rsidRPr="006968C3">
        <w:rPr>
          <w:rFonts w:ascii="Times New Roman" w:hAnsi="Times New Roman" w:cs="Times New Roman"/>
          <w:sz w:val="28"/>
          <w:szCs w:val="28"/>
          <w:lang w:val="en-US"/>
        </w:rPr>
        <w:t xml:space="preserve"> </w:t>
      </w:r>
      <w:r w:rsidR="006E796A">
        <w:rPr>
          <w:rFonts w:ascii="Times New Roman" w:hAnsi="Times New Roman" w:cs="Times New Roman"/>
          <w:sz w:val="28"/>
          <w:szCs w:val="28"/>
        </w:rPr>
        <w:t>коагуляции</w:t>
      </w:r>
      <w:r w:rsidR="00EA3C3A" w:rsidRPr="006968C3">
        <w:rPr>
          <w:rFonts w:ascii="Times New Roman" w:hAnsi="Times New Roman" w:cs="Times New Roman"/>
          <w:sz w:val="28"/>
          <w:szCs w:val="28"/>
          <w:lang w:val="en-US"/>
        </w:rPr>
        <w:t>, Peak thr. (</w:t>
      </w:r>
      <w:r w:rsidR="00EA3C3A" w:rsidRPr="00EA3C3A">
        <w:rPr>
          <w:rFonts w:ascii="Times New Roman" w:hAnsi="Times New Roman" w:cs="Times New Roman"/>
          <w:sz w:val="28"/>
          <w:szCs w:val="28"/>
        </w:rPr>
        <w:t>от</w:t>
      </w:r>
      <w:r w:rsidR="00EA3C3A" w:rsidRPr="006968C3">
        <w:rPr>
          <w:rFonts w:ascii="Times New Roman" w:hAnsi="Times New Roman" w:cs="Times New Roman"/>
          <w:sz w:val="28"/>
          <w:szCs w:val="28"/>
          <w:lang w:val="en-US"/>
        </w:rPr>
        <w:t xml:space="preserve"> </w:t>
      </w:r>
      <w:r w:rsidR="00EA3C3A" w:rsidRPr="00EA3C3A">
        <w:rPr>
          <w:rFonts w:ascii="Times New Roman" w:hAnsi="Times New Roman" w:cs="Times New Roman"/>
          <w:sz w:val="28"/>
          <w:szCs w:val="28"/>
        </w:rPr>
        <w:t>англ</w:t>
      </w:r>
      <w:r w:rsidR="00EA3C3A" w:rsidRPr="006968C3">
        <w:rPr>
          <w:rFonts w:ascii="Times New Roman" w:hAnsi="Times New Roman" w:cs="Times New Roman"/>
          <w:sz w:val="28"/>
          <w:szCs w:val="28"/>
          <w:lang w:val="en-US"/>
        </w:rPr>
        <w:t>. Peak</w:t>
      </w:r>
      <w:r w:rsidR="00EA3C3A" w:rsidRPr="00822A60">
        <w:rPr>
          <w:rFonts w:ascii="Times New Roman" w:hAnsi="Times New Roman" w:cs="Times New Roman"/>
          <w:sz w:val="28"/>
          <w:szCs w:val="28"/>
          <w:lang w:val="en-US"/>
        </w:rPr>
        <w:t xml:space="preserve"> </w:t>
      </w:r>
      <w:r w:rsidR="00EA3C3A" w:rsidRPr="006968C3">
        <w:rPr>
          <w:rFonts w:ascii="Times New Roman" w:hAnsi="Times New Roman" w:cs="Times New Roman"/>
          <w:sz w:val="28"/>
          <w:szCs w:val="28"/>
          <w:lang w:val="en-US"/>
        </w:rPr>
        <w:t>thrombin</w:t>
      </w:r>
      <w:r w:rsidR="00EA3C3A" w:rsidRPr="00822A60">
        <w:rPr>
          <w:rFonts w:ascii="Times New Roman" w:hAnsi="Times New Roman" w:cs="Times New Roman"/>
          <w:sz w:val="28"/>
          <w:szCs w:val="28"/>
          <w:lang w:val="en-US"/>
        </w:rPr>
        <w:t xml:space="preserve">) — </w:t>
      </w:r>
      <w:r w:rsidR="00822A60" w:rsidRPr="00427C1E">
        <w:rPr>
          <w:rFonts w:ascii="Times New Roman" w:hAnsi="Times New Roman" w:cs="Times New Roman"/>
          <w:sz w:val="28"/>
          <w:szCs w:val="28"/>
        </w:rPr>
        <w:t>максимальная</w:t>
      </w:r>
      <w:r w:rsidR="00822A60" w:rsidRPr="00822A60">
        <w:rPr>
          <w:rFonts w:ascii="Times New Roman" w:hAnsi="Times New Roman" w:cs="Times New Roman"/>
          <w:sz w:val="28"/>
          <w:szCs w:val="28"/>
          <w:lang w:val="en-US"/>
        </w:rPr>
        <w:t xml:space="preserve"> </w:t>
      </w:r>
      <w:r w:rsidR="00822A60" w:rsidRPr="00427C1E">
        <w:rPr>
          <w:rFonts w:ascii="Times New Roman" w:hAnsi="Times New Roman" w:cs="Times New Roman"/>
          <w:sz w:val="28"/>
          <w:szCs w:val="28"/>
        </w:rPr>
        <w:t>концентрация</w:t>
      </w:r>
      <w:r w:rsidR="00822A60" w:rsidRPr="00822A60">
        <w:rPr>
          <w:rFonts w:ascii="Times New Roman" w:hAnsi="Times New Roman" w:cs="Times New Roman"/>
          <w:sz w:val="28"/>
          <w:szCs w:val="28"/>
          <w:lang w:val="en-US"/>
        </w:rPr>
        <w:t xml:space="preserve"> </w:t>
      </w:r>
      <w:r w:rsidR="00822A60" w:rsidRPr="00427C1E">
        <w:rPr>
          <w:rFonts w:ascii="Times New Roman" w:hAnsi="Times New Roman" w:cs="Times New Roman"/>
          <w:sz w:val="28"/>
          <w:szCs w:val="28"/>
        </w:rPr>
        <w:t>тромбина</w:t>
      </w:r>
      <w:r w:rsidR="00822A60" w:rsidRPr="00822A60">
        <w:rPr>
          <w:rFonts w:ascii="Times New Roman" w:hAnsi="Times New Roman" w:cs="Times New Roman"/>
          <w:sz w:val="28"/>
          <w:szCs w:val="28"/>
          <w:lang w:val="en-US"/>
        </w:rPr>
        <w:t xml:space="preserve"> </w:t>
      </w:r>
      <w:r w:rsidR="00822A60" w:rsidRPr="00427C1E">
        <w:rPr>
          <w:rFonts w:ascii="Times New Roman" w:hAnsi="Times New Roman" w:cs="Times New Roman"/>
          <w:sz w:val="28"/>
          <w:szCs w:val="28"/>
        </w:rPr>
        <w:t>в</w:t>
      </w:r>
      <w:r w:rsidR="00822A60" w:rsidRPr="00822A60">
        <w:rPr>
          <w:rFonts w:ascii="Times New Roman" w:hAnsi="Times New Roman" w:cs="Times New Roman"/>
          <w:sz w:val="28"/>
          <w:szCs w:val="28"/>
          <w:lang w:val="en-US"/>
        </w:rPr>
        <w:t xml:space="preserve"> </w:t>
      </w:r>
      <w:r w:rsidR="00822A60" w:rsidRPr="00427C1E">
        <w:rPr>
          <w:rFonts w:ascii="Times New Roman" w:hAnsi="Times New Roman" w:cs="Times New Roman"/>
          <w:sz w:val="28"/>
          <w:szCs w:val="28"/>
        </w:rPr>
        <w:t>образце</w:t>
      </w:r>
      <w:r w:rsidR="00EA3C3A" w:rsidRPr="00822A60">
        <w:rPr>
          <w:rFonts w:ascii="Times New Roman" w:hAnsi="Times New Roman" w:cs="Times New Roman"/>
          <w:sz w:val="28"/>
          <w:szCs w:val="28"/>
          <w:lang w:val="en-US"/>
        </w:rPr>
        <w:t xml:space="preserve">, </w:t>
      </w:r>
      <w:r w:rsidR="00EA3C3A" w:rsidRPr="006968C3">
        <w:rPr>
          <w:rFonts w:ascii="Times New Roman" w:hAnsi="Times New Roman" w:cs="Times New Roman"/>
          <w:sz w:val="28"/>
          <w:szCs w:val="28"/>
          <w:lang w:val="en-US"/>
        </w:rPr>
        <w:t>ttPeak</w:t>
      </w:r>
      <w:r w:rsidR="00EA3C3A" w:rsidRPr="00822A60">
        <w:rPr>
          <w:rFonts w:ascii="Times New Roman" w:hAnsi="Times New Roman" w:cs="Times New Roman"/>
          <w:sz w:val="28"/>
          <w:szCs w:val="28"/>
          <w:lang w:val="en-US"/>
        </w:rPr>
        <w:t xml:space="preserve"> (</w:t>
      </w:r>
      <w:r w:rsidR="00EA3C3A" w:rsidRPr="00EA3C3A">
        <w:rPr>
          <w:rFonts w:ascii="Times New Roman" w:hAnsi="Times New Roman" w:cs="Times New Roman"/>
          <w:sz w:val="28"/>
          <w:szCs w:val="28"/>
        </w:rPr>
        <w:t>от</w:t>
      </w:r>
      <w:r w:rsidR="00EA3C3A" w:rsidRPr="00822A60">
        <w:rPr>
          <w:rFonts w:ascii="Times New Roman" w:hAnsi="Times New Roman" w:cs="Times New Roman"/>
          <w:sz w:val="28"/>
          <w:szCs w:val="28"/>
          <w:lang w:val="en-US"/>
        </w:rPr>
        <w:t xml:space="preserve"> </w:t>
      </w:r>
      <w:r w:rsidR="00EA3C3A" w:rsidRPr="00EA3C3A">
        <w:rPr>
          <w:rFonts w:ascii="Times New Roman" w:hAnsi="Times New Roman" w:cs="Times New Roman"/>
          <w:sz w:val="28"/>
          <w:szCs w:val="28"/>
        </w:rPr>
        <w:t>англ</w:t>
      </w:r>
      <w:r w:rsidR="00EA3C3A" w:rsidRPr="00822A60">
        <w:rPr>
          <w:rFonts w:ascii="Times New Roman" w:hAnsi="Times New Roman" w:cs="Times New Roman"/>
          <w:sz w:val="28"/>
          <w:szCs w:val="28"/>
          <w:lang w:val="en-US"/>
        </w:rPr>
        <w:t xml:space="preserve">. </w:t>
      </w:r>
      <w:r w:rsidR="00EA3C3A" w:rsidRPr="006968C3">
        <w:rPr>
          <w:rFonts w:ascii="Times New Roman" w:hAnsi="Times New Roman" w:cs="Times New Roman"/>
          <w:sz w:val="28"/>
          <w:szCs w:val="28"/>
          <w:lang w:val="en-US"/>
        </w:rPr>
        <w:t>time</w:t>
      </w:r>
      <w:r w:rsidR="00EA3C3A" w:rsidRPr="00822A60">
        <w:rPr>
          <w:rFonts w:ascii="Times New Roman" w:hAnsi="Times New Roman" w:cs="Times New Roman"/>
          <w:sz w:val="28"/>
          <w:szCs w:val="28"/>
          <w:lang w:val="en-US"/>
        </w:rPr>
        <w:t xml:space="preserve"> </w:t>
      </w:r>
      <w:r w:rsidR="00EA3C3A" w:rsidRPr="006968C3">
        <w:rPr>
          <w:rFonts w:ascii="Times New Roman" w:hAnsi="Times New Roman" w:cs="Times New Roman"/>
          <w:sz w:val="28"/>
          <w:szCs w:val="28"/>
          <w:lang w:val="en-US"/>
        </w:rPr>
        <w:t>to</w:t>
      </w:r>
      <w:r w:rsidR="00EA3C3A" w:rsidRPr="00822A60">
        <w:rPr>
          <w:rFonts w:ascii="Times New Roman" w:hAnsi="Times New Roman" w:cs="Times New Roman"/>
          <w:sz w:val="28"/>
          <w:szCs w:val="28"/>
          <w:lang w:val="en-US"/>
        </w:rPr>
        <w:t xml:space="preserve"> </w:t>
      </w:r>
      <w:r w:rsidR="00EA3C3A" w:rsidRPr="006968C3">
        <w:rPr>
          <w:rFonts w:ascii="Times New Roman" w:hAnsi="Times New Roman" w:cs="Times New Roman"/>
          <w:sz w:val="28"/>
          <w:szCs w:val="28"/>
          <w:lang w:val="en-US"/>
        </w:rPr>
        <w:t>peak</w:t>
      </w:r>
      <w:r w:rsidR="00EA3C3A" w:rsidRPr="00822A60">
        <w:rPr>
          <w:rFonts w:ascii="Times New Roman" w:hAnsi="Times New Roman" w:cs="Times New Roman"/>
          <w:sz w:val="28"/>
          <w:szCs w:val="28"/>
          <w:lang w:val="en-US"/>
        </w:rPr>
        <w:t xml:space="preserve">) — </w:t>
      </w:r>
      <w:r w:rsidR="00EA3C3A" w:rsidRPr="00EA3C3A">
        <w:rPr>
          <w:rFonts w:ascii="Times New Roman" w:hAnsi="Times New Roman" w:cs="Times New Roman"/>
          <w:sz w:val="28"/>
          <w:szCs w:val="28"/>
        </w:rPr>
        <w:t>время</w:t>
      </w:r>
      <w:r w:rsidR="00EA3C3A" w:rsidRPr="00822A60">
        <w:rPr>
          <w:rFonts w:ascii="Times New Roman" w:hAnsi="Times New Roman" w:cs="Times New Roman"/>
          <w:sz w:val="28"/>
          <w:szCs w:val="28"/>
          <w:lang w:val="en-US"/>
        </w:rPr>
        <w:t xml:space="preserve"> </w:t>
      </w:r>
      <w:r w:rsidR="00EA3C3A" w:rsidRPr="00EA3C3A">
        <w:rPr>
          <w:rFonts w:ascii="Times New Roman" w:hAnsi="Times New Roman" w:cs="Times New Roman"/>
          <w:sz w:val="28"/>
          <w:szCs w:val="28"/>
        </w:rPr>
        <w:t>достижения</w:t>
      </w:r>
      <w:r w:rsidR="00EA3C3A" w:rsidRPr="00822A60">
        <w:rPr>
          <w:rFonts w:ascii="Times New Roman" w:hAnsi="Times New Roman" w:cs="Times New Roman"/>
          <w:sz w:val="28"/>
          <w:szCs w:val="28"/>
          <w:lang w:val="en-US"/>
        </w:rPr>
        <w:t xml:space="preserve"> </w:t>
      </w:r>
      <w:r w:rsidR="00EA3C3A" w:rsidRPr="00EA3C3A">
        <w:rPr>
          <w:rFonts w:ascii="Times New Roman" w:hAnsi="Times New Roman" w:cs="Times New Roman"/>
          <w:sz w:val="28"/>
          <w:szCs w:val="28"/>
        </w:rPr>
        <w:t>пика</w:t>
      </w:r>
      <w:r w:rsidR="00EA3C3A" w:rsidRPr="00822A60">
        <w:rPr>
          <w:rFonts w:ascii="Times New Roman" w:hAnsi="Times New Roman" w:cs="Times New Roman"/>
          <w:sz w:val="28"/>
          <w:szCs w:val="28"/>
          <w:lang w:val="en-US"/>
        </w:rPr>
        <w:t xml:space="preserve"> </w:t>
      </w:r>
      <w:r w:rsidR="00EA3C3A" w:rsidRPr="00EA3C3A">
        <w:rPr>
          <w:rFonts w:ascii="Times New Roman" w:hAnsi="Times New Roman" w:cs="Times New Roman"/>
          <w:sz w:val="28"/>
          <w:szCs w:val="28"/>
        </w:rPr>
        <w:t>тромбина</w:t>
      </w:r>
      <w:r w:rsidR="00EA3C3A" w:rsidRPr="00822A60">
        <w:rPr>
          <w:rFonts w:ascii="Times New Roman" w:hAnsi="Times New Roman" w:cs="Times New Roman"/>
          <w:sz w:val="28"/>
          <w:szCs w:val="28"/>
          <w:lang w:val="en-US"/>
        </w:rPr>
        <w:t xml:space="preserve">, </w:t>
      </w:r>
      <w:r w:rsidR="00EA3C3A" w:rsidRPr="006968C3">
        <w:rPr>
          <w:rFonts w:ascii="Times New Roman" w:hAnsi="Times New Roman" w:cs="Times New Roman"/>
          <w:sz w:val="28"/>
          <w:szCs w:val="28"/>
          <w:lang w:val="en-US"/>
        </w:rPr>
        <w:t>VI</w:t>
      </w:r>
      <w:r w:rsidR="00EA3C3A" w:rsidRPr="00822A60">
        <w:rPr>
          <w:rFonts w:ascii="Times New Roman" w:hAnsi="Times New Roman" w:cs="Times New Roman"/>
          <w:sz w:val="28"/>
          <w:szCs w:val="28"/>
          <w:lang w:val="en-US"/>
        </w:rPr>
        <w:t xml:space="preserve"> (</w:t>
      </w:r>
      <w:r w:rsidR="00EA3C3A" w:rsidRPr="00EA3C3A">
        <w:rPr>
          <w:rFonts w:ascii="Times New Roman" w:hAnsi="Times New Roman" w:cs="Times New Roman"/>
          <w:sz w:val="28"/>
          <w:szCs w:val="28"/>
        </w:rPr>
        <w:t>от</w:t>
      </w:r>
      <w:r w:rsidR="00EA3C3A" w:rsidRPr="00822A60">
        <w:rPr>
          <w:rFonts w:ascii="Times New Roman" w:hAnsi="Times New Roman" w:cs="Times New Roman"/>
          <w:sz w:val="28"/>
          <w:szCs w:val="28"/>
          <w:lang w:val="en-US"/>
        </w:rPr>
        <w:t xml:space="preserve"> </w:t>
      </w:r>
      <w:r w:rsidR="00EA3C3A" w:rsidRPr="00EA3C3A">
        <w:rPr>
          <w:rFonts w:ascii="Times New Roman" w:hAnsi="Times New Roman" w:cs="Times New Roman"/>
          <w:sz w:val="28"/>
          <w:szCs w:val="28"/>
        </w:rPr>
        <w:t>англ</w:t>
      </w:r>
      <w:r w:rsidR="00EA3C3A" w:rsidRPr="00822A60">
        <w:rPr>
          <w:rFonts w:ascii="Times New Roman" w:hAnsi="Times New Roman" w:cs="Times New Roman"/>
          <w:sz w:val="28"/>
          <w:szCs w:val="28"/>
          <w:lang w:val="en-US"/>
        </w:rPr>
        <w:t xml:space="preserve">. </w:t>
      </w:r>
      <w:r w:rsidR="00EA3C3A" w:rsidRPr="006968C3">
        <w:rPr>
          <w:rFonts w:ascii="Times New Roman" w:hAnsi="Times New Roman" w:cs="Times New Roman"/>
          <w:sz w:val="28"/>
          <w:szCs w:val="28"/>
          <w:lang w:val="en-US"/>
        </w:rPr>
        <w:t>velocity</w:t>
      </w:r>
      <w:r w:rsidR="00EA3C3A" w:rsidRPr="00822A60">
        <w:rPr>
          <w:rFonts w:ascii="Times New Roman" w:hAnsi="Times New Roman" w:cs="Times New Roman"/>
          <w:sz w:val="28"/>
          <w:szCs w:val="28"/>
          <w:lang w:val="en-US"/>
        </w:rPr>
        <w:t xml:space="preserve"> </w:t>
      </w:r>
      <w:r w:rsidR="00EA3C3A" w:rsidRPr="006968C3">
        <w:rPr>
          <w:rFonts w:ascii="Times New Roman" w:hAnsi="Times New Roman" w:cs="Times New Roman"/>
          <w:sz w:val="28"/>
          <w:szCs w:val="28"/>
          <w:lang w:val="en-US"/>
        </w:rPr>
        <w:t>index</w:t>
      </w:r>
      <w:r w:rsidR="00EA3C3A" w:rsidRPr="00822A60">
        <w:rPr>
          <w:rFonts w:ascii="Times New Roman" w:hAnsi="Times New Roman" w:cs="Times New Roman"/>
          <w:sz w:val="28"/>
          <w:szCs w:val="28"/>
          <w:lang w:val="en-US"/>
        </w:rPr>
        <w:t xml:space="preserve">) — </w:t>
      </w:r>
      <w:r w:rsidR="00EA3C3A" w:rsidRPr="00EA3C3A">
        <w:rPr>
          <w:rFonts w:ascii="Times New Roman" w:hAnsi="Times New Roman" w:cs="Times New Roman"/>
          <w:sz w:val="28"/>
          <w:szCs w:val="28"/>
        </w:rPr>
        <w:t>индекс</w:t>
      </w:r>
      <w:r w:rsidR="00EA3C3A" w:rsidRPr="00822A60">
        <w:rPr>
          <w:rFonts w:ascii="Times New Roman" w:hAnsi="Times New Roman" w:cs="Times New Roman"/>
          <w:sz w:val="28"/>
          <w:szCs w:val="28"/>
          <w:lang w:val="en-US"/>
        </w:rPr>
        <w:t xml:space="preserve"> </w:t>
      </w:r>
      <w:r w:rsidR="00EA3C3A" w:rsidRPr="00EA3C3A">
        <w:rPr>
          <w:rFonts w:ascii="Times New Roman" w:hAnsi="Times New Roman" w:cs="Times New Roman"/>
          <w:sz w:val="28"/>
          <w:szCs w:val="28"/>
        </w:rPr>
        <w:t>скорости</w:t>
      </w:r>
      <w:r w:rsidR="00EA3C3A" w:rsidRPr="00822A60">
        <w:rPr>
          <w:rFonts w:ascii="Times New Roman" w:hAnsi="Times New Roman" w:cs="Times New Roman"/>
          <w:sz w:val="28"/>
          <w:szCs w:val="28"/>
          <w:lang w:val="en-US"/>
        </w:rPr>
        <w:t xml:space="preserve"> </w:t>
      </w:r>
      <w:r w:rsidR="00EA3C3A" w:rsidRPr="00EA3C3A">
        <w:rPr>
          <w:rFonts w:ascii="Times New Roman" w:hAnsi="Times New Roman" w:cs="Times New Roman"/>
          <w:sz w:val="28"/>
          <w:szCs w:val="28"/>
        </w:rPr>
        <w:t>образования</w:t>
      </w:r>
      <w:r w:rsidR="00EA3C3A" w:rsidRPr="00822A60">
        <w:rPr>
          <w:rFonts w:ascii="Times New Roman" w:hAnsi="Times New Roman" w:cs="Times New Roman"/>
          <w:sz w:val="28"/>
          <w:szCs w:val="28"/>
          <w:lang w:val="en-US"/>
        </w:rPr>
        <w:t xml:space="preserve"> </w:t>
      </w:r>
      <w:r w:rsidR="00EA3C3A" w:rsidRPr="00EA3C3A">
        <w:rPr>
          <w:rFonts w:ascii="Times New Roman" w:hAnsi="Times New Roman" w:cs="Times New Roman"/>
          <w:sz w:val="28"/>
          <w:szCs w:val="28"/>
        </w:rPr>
        <w:t>тромбина</w:t>
      </w:r>
      <w:r w:rsidR="00EA3C3A" w:rsidRPr="00822A60">
        <w:rPr>
          <w:rFonts w:ascii="Times New Roman" w:hAnsi="Times New Roman" w:cs="Times New Roman"/>
          <w:sz w:val="28"/>
          <w:szCs w:val="28"/>
          <w:lang w:val="en-US"/>
        </w:rPr>
        <w:t>.</w:t>
      </w:r>
    </w:p>
    <w:p w14:paraId="7AADF4D0" w14:textId="3AD1C262" w:rsidR="008F6E04" w:rsidRPr="00427C1E" w:rsidRDefault="007320B1" w:rsidP="0040071C">
      <w:pPr>
        <w:spacing w:line="48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Введение</w:t>
      </w:r>
    </w:p>
    <w:p w14:paraId="1275C297" w14:textId="77777777" w:rsidR="006E796A" w:rsidRDefault="00CC60B5" w:rsidP="0040071C">
      <w:pPr>
        <w:spacing w:line="480" w:lineRule="auto"/>
        <w:ind w:firstLine="709"/>
        <w:contextualSpacing/>
        <w:jc w:val="both"/>
        <w:rPr>
          <w:rFonts w:ascii="Times New Roman" w:hAnsi="Times New Roman" w:cs="Times New Roman"/>
          <w:sz w:val="28"/>
          <w:szCs w:val="28"/>
        </w:rPr>
      </w:pPr>
      <w:r w:rsidRPr="00427C1E">
        <w:rPr>
          <w:rFonts w:ascii="Times New Roman" w:hAnsi="Times New Roman" w:cs="Times New Roman"/>
          <w:color w:val="000000" w:themeColor="text1"/>
          <w:sz w:val="28"/>
          <w:szCs w:val="28"/>
        </w:rPr>
        <w:t>Т</w:t>
      </w:r>
      <w:r w:rsidR="00204AA1" w:rsidRPr="00427C1E">
        <w:rPr>
          <w:rFonts w:ascii="Times New Roman" w:hAnsi="Times New Roman" w:cs="Times New Roman"/>
          <w:color w:val="000000" w:themeColor="text1"/>
          <w:sz w:val="28"/>
          <w:szCs w:val="28"/>
        </w:rPr>
        <w:t xml:space="preserve">ест генерации </w:t>
      </w:r>
      <w:r w:rsidR="00204AA1" w:rsidRPr="00310599">
        <w:rPr>
          <w:rFonts w:ascii="Times New Roman" w:hAnsi="Times New Roman" w:cs="Times New Roman"/>
          <w:color w:val="000000" w:themeColor="text1"/>
          <w:sz w:val="28"/>
          <w:szCs w:val="28"/>
        </w:rPr>
        <w:t xml:space="preserve">тромбина </w:t>
      </w:r>
      <w:r w:rsidR="00AA0D47" w:rsidRPr="00310599">
        <w:rPr>
          <w:rFonts w:ascii="Times New Roman" w:hAnsi="Times New Roman" w:cs="Times New Roman"/>
          <w:color w:val="000000" w:themeColor="text1"/>
          <w:sz w:val="28"/>
          <w:szCs w:val="28"/>
        </w:rPr>
        <w:t>(ТГТ)</w:t>
      </w:r>
      <w:r w:rsidR="00AA0D47">
        <w:rPr>
          <w:rFonts w:ascii="Times New Roman" w:hAnsi="Times New Roman" w:cs="Times New Roman"/>
          <w:color w:val="000000" w:themeColor="text1"/>
          <w:sz w:val="28"/>
          <w:szCs w:val="28"/>
        </w:rPr>
        <w:t xml:space="preserve"> </w:t>
      </w:r>
      <w:r w:rsidR="00204AA1" w:rsidRPr="00427C1E">
        <w:rPr>
          <w:rFonts w:ascii="Times New Roman" w:hAnsi="Times New Roman" w:cs="Times New Roman"/>
          <w:color w:val="000000" w:themeColor="text1"/>
          <w:sz w:val="28"/>
          <w:szCs w:val="28"/>
        </w:rPr>
        <w:t xml:space="preserve">– интегральный тест оценки </w:t>
      </w:r>
      <w:r w:rsidRPr="00427C1E">
        <w:rPr>
          <w:rFonts w:ascii="Times New Roman" w:hAnsi="Times New Roman" w:cs="Times New Roman"/>
          <w:color w:val="000000" w:themeColor="text1"/>
          <w:sz w:val="28"/>
          <w:szCs w:val="28"/>
        </w:rPr>
        <w:t>кинетики образования тромбина в единицу времени после добавления в образцы плазмы реагент</w:t>
      </w:r>
      <w:r w:rsidR="00AA2BA1">
        <w:rPr>
          <w:rFonts w:ascii="Times New Roman" w:hAnsi="Times New Roman" w:cs="Times New Roman"/>
          <w:color w:val="000000" w:themeColor="text1"/>
          <w:sz w:val="28"/>
          <w:szCs w:val="28"/>
        </w:rPr>
        <w:t>ов, инициирующих</w:t>
      </w:r>
      <w:r w:rsidRPr="00427C1E">
        <w:rPr>
          <w:rFonts w:ascii="Times New Roman" w:hAnsi="Times New Roman" w:cs="Times New Roman"/>
          <w:color w:val="000000" w:themeColor="text1"/>
          <w:sz w:val="28"/>
          <w:szCs w:val="28"/>
        </w:rPr>
        <w:t xml:space="preserve"> каскад коагуляции. </w:t>
      </w:r>
      <w:r w:rsidR="007819E5" w:rsidRPr="00427C1E">
        <w:rPr>
          <w:rFonts w:ascii="Times New Roman" w:hAnsi="Times New Roman" w:cs="Times New Roman"/>
          <w:color w:val="000000" w:themeColor="text1"/>
          <w:sz w:val="28"/>
          <w:szCs w:val="28"/>
        </w:rPr>
        <w:t xml:space="preserve">Впервые </w:t>
      </w:r>
      <w:r w:rsidR="00204AA1" w:rsidRPr="00427C1E">
        <w:rPr>
          <w:rFonts w:ascii="Times New Roman" w:hAnsi="Times New Roman" w:cs="Times New Roman"/>
          <w:color w:val="000000" w:themeColor="text1"/>
          <w:sz w:val="28"/>
          <w:szCs w:val="28"/>
        </w:rPr>
        <w:t xml:space="preserve">метод был </w:t>
      </w:r>
      <w:r w:rsidR="007819E5" w:rsidRPr="00427C1E">
        <w:rPr>
          <w:rFonts w:ascii="Times New Roman" w:hAnsi="Times New Roman" w:cs="Times New Roman"/>
          <w:color w:val="000000" w:themeColor="text1"/>
          <w:sz w:val="28"/>
          <w:szCs w:val="28"/>
        </w:rPr>
        <w:t>описан в начале</w:t>
      </w:r>
      <w:r w:rsidR="00204AA1" w:rsidRPr="00427C1E">
        <w:rPr>
          <w:rFonts w:ascii="Times New Roman" w:hAnsi="Times New Roman" w:cs="Times New Roman"/>
          <w:color w:val="000000" w:themeColor="text1"/>
          <w:sz w:val="28"/>
          <w:szCs w:val="28"/>
        </w:rPr>
        <w:t xml:space="preserve"> 1950-х годов</w:t>
      </w:r>
      <w:r w:rsidRPr="00427C1E">
        <w:rPr>
          <w:rFonts w:ascii="Times New Roman" w:hAnsi="Times New Roman" w:cs="Times New Roman"/>
          <w:color w:val="000000" w:themeColor="text1"/>
          <w:sz w:val="28"/>
          <w:szCs w:val="28"/>
        </w:rPr>
        <w:t>, однако был полностью ручным</w:t>
      </w:r>
      <w:r w:rsidR="00AA2BA1">
        <w:rPr>
          <w:rFonts w:ascii="Times New Roman" w:hAnsi="Times New Roman" w:cs="Times New Roman"/>
          <w:color w:val="000000" w:themeColor="text1"/>
          <w:sz w:val="28"/>
          <w:szCs w:val="28"/>
        </w:rPr>
        <w:t>,</w:t>
      </w:r>
      <w:r w:rsidRPr="00427C1E">
        <w:rPr>
          <w:rFonts w:ascii="Times New Roman" w:hAnsi="Times New Roman" w:cs="Times New Roman"/>
          <w:color w:val="000000" w:themeColor="text1"/>
          <w:sz w:val="28"/>
          <w:szCs w:val="28"/>
        </w:rPr>
        <w:t xml:space="preserve"> имел высокую погрешность и низкую воспроизводимость</w:t>
      </w:r>
      <w:r w:rsidR="00204AA1" w:rsidRPr="00427C1E">
        <w:rPr>
          <w:rFonts w:ascii="Times New Roman" w:hAnsi="Times New Roman" w:cs="Times New Roman"/>
          <w:color w:val="000000" w:themeColor="text1"/>
          <w:sz w:val="28"/>
          <w:szCs w:val="28"/>
        </w:rPr>
        <w:t xml:space="preserve"> [</w:t>
      </w:r>
      <w:r w:rsidR="00204AA1" w:rsidRPr="00427C1E">
        <w:rPr>
          <w:rFonts w:ascii="Times New Roman" w:hAnsi="Times New Roman" w:cs="Times New Roman"/>
          <w:color w:val="000000" w:themeColor="text1"/>
          <w:sz w:val="28"/>
          <w:szCs w:val="28"/>
        </w:rPr>
        <w:fldChar w:fldCharType="begin"/>
      </w:r>
      <w:r w:rsidR="008579BC">
        <w:rPr>
          <w:rFonts w:ascii="Times New Roman" w:hAnsi="Times New Roman" w:cs="Times New Roman"/>
          <w:color w:val="000000" w:themeColor="text1"/>
          <w:sz w:val="28"/>
          <w:szCs w:val="28"/>
        </w:rPr>
        <w:instrText xml:space="preserve"> ADDIN ZOTERO_ITEM CSL_CITATION {"citationID":"W6AnOKuB","properties":{"formattedCitation":"(1)","plainCitation":"(1)","noteIndex":0},"citationItems":[{"id":102,"uris":["http://zotero.org/users/local/yCd0M2za/items/9BAW2LH5"],"itemData":{"id":102,"type":"article-journal","container-title":"Journal of Clinical Pathology","DOI":"10.1136/jcp.6.1.3","ISSN":"0021-9746","issue":"1","journalAbbreviation":"Journal of Clinical Pathology","language":"en","page":"3-8","source":"DOI.org (Crossref)","title":"A Thrombin Generation Test: The Application in Haemophilia and Thrombocytopenia","title-short":"A Thrombin Generation Test","volume":"6","author":[{"family":"Macfarlane","given":"R. G."},{"family":"Biggs","given":"R."}],"issued":{"date-parts":[["1953",2,1]]}}}],"schema":"https://github.com/citation-style-language/schema/raw/master/csl-citation.json"} </w:instrText>
      </w:r>
      <w:r w:rsidR="00204AA1" w:rsidRPr="00427C1E">
        <w:rPr>
          <w:rFonts w:ascii="Times New Roman" w:hAnsi="Times New Roman" w:cs="Times New Roman"/>
          <w:color w:val="000000" w:themeColor="text1"/>
          <w:sz w:val="28"/>
          <w:szCs w:val="28"/>
        </w:rPr>
        <w:fldChar w:fldCharType="separate"/>
      </w:r>
      <w:r w:rsidR="00204AA1" w:rsidRPr="00427C1E">
        <w:rPr>
          <w:rFonts w:ascii="Times New Roman" w:hAnsi="Times New Roman" w:cs="Times New Roman"/>
          <w:color w:val="000000" w:themeColor="text1"/>
          <w:sz w:val="28"/>
          <w:szCs w:val="28"/>
        </w:rPr>
        <w:t>1</w:t>
      </w:r>
      <w:r w:rsidR="00204AA1" w:rsidRPr="00427C1E">
        <w:rPr>
          <w:rFonts w:ascii="Times New Roman" w:hAnsi="Times New Roman" w:cs="Times New Roman"/>
          <w:color w:val="000000" w:themeColor="text1"/>
          <w:sz w:val="28"/>
          <w:szCs w:val="28"/>
        </w:rPr>
        <w:fldChar w:fldCharType="end"/>
      </w:r>
      <w:r w:rsidR="00204AA1" w:rsidRPr="00427C1E">
        <w:rPr>
          <w:rFonts w:ascii="Times New Roman" w:hAnsi="Times New Roman" w:cs="Times New Roman"/>
          <w:color w:val="000000" w:themeColor="text1"/>
          <w:sz w:val="28"/>
          <w:szCs w:val="28"/>
        </w:rPr>
        <w:t>].</w:t>
      </w:r>
      <w:r w:rsidR="00DC7512" w:rsidRPr="00427C1E">
        <w:rPr>
          <w:rFonts w:ascii="Times New Roman" w:hAnsi="Times New Roman" w:cs="Times New Roman"/>
          <w:color w:val="000000" w:themeColor="text1"/>
          <w:sz w:val="28"/>
          <w:szCs w:val="28"/>
        </w:rPr>
        <w:t xml:space="preserve"> В последующем методика была</w:t>
      </w:r>
      <w:r w:rsidR="00810C5D">
        <w:rPr>
          <w:rFonts w:ascii="Times New Roman" w:hAnsi="Times New Roman" w:cs="Times New Roman"/>
          <w:color w:val="000000" w:themeColor="text1"/>
          <w:sz w:val="28"/>
          <w:szCs w:val="28"/>
        </w:rPr>
        <w:t xml:space="preserve"> </w:t>
      </w:r>
      <w:r w:rsidR="00810C5D">
        <w:rPr>
          <w:rFonts w:ascii="Times New Roman" w:hAnsi="Times New Roman" w:cs="Times New Roman"/>
          <w:color w:val="000000" w:themeColor="text1"/>
          <w:sz w:val="28"/>
          <w:szCs w:val="28"/>
        </w:rPr>
        <w:lastRenderedPageBreak/>
        <w:t>модифицирована Н. Hemker с соавторами</w:t>
      </w:r>
      <w:r w:rsidR="00DC7512" w:rsidRPr="00427C1E">
        <w:rPr>
          <w:rFonts w:ascii="Times New Roman" w:hAnsi="Times New Roman" w:cs="Times New Roman"/>
          <w:color w:val="000000" w:themeColor="text1"/>
          <w:sz w:val="28"/>
          <w:szCs w:val="28"/>
        </w:rPr>
        <w:t xml:space="preserve"> и стала полуавтоматической [</w:t>
      </w:r>
      <w:r w:rsidR="00DC7512" w:rsidRPr="00427C1E">
        <w:rPr>
          <w:rFonts w:ascii="Times New Roman" w:hAnsi="Times New Roman" w:cs="Times New Roman"/>
          <w:color w:val="000000" w:themeColor="text1"/>
          <w:sz w:val="28"/>
          <w:szCs w:val="28"/>
          <w:lang w:val="en-US"/>
        </w:rPr>
        <w:fldChar w:fldCharType="begin"/>
      </w:r>
      <w:r w:rsidR="008579BC">
        <w:rPr>
          <w:rFonts w:ascii="Times New Roman" w:hAnsi="Times New Roman" w:cs="Times New Roman"/>
          <w:color w:val="000000" w:themeColor="text1"/>
          <w:sz w:val="28"/>
          <w:szCs w:val="28"/>
        </w:rPr>
        <w:instrText xml:space="preserve"> ADDIN ZOTERO_ITEM CSL_CITATION {"citationID":"ATu0prNf","properties":{"formattedCitation":"(2)","plainCitation":"(2)","noteIndex":0},"citationItems":[{"id":90,"uris":["http://zotero.org/users/local/yCd0M2za/items/ZY8TBEEH"],"itemData":{"id":90,"type":"article-journal","container-title":"Pathophysiology of Haemostasis and Thrombosis","DOI":"10.1159/000073575","ISSN":"1424-8832, 1424-8840","issue":"5-6","journalAbbreviation":"Pathophysiol Haemos Thromb","language":"en","page":"249-253","source":"DOI.org (Crossref)","title":"The Calibrated Automated Thrombogram (CAT): a universal routine test for hyper- and hypocoagulability","title-short":"The Calibrated Automated Thrombogram (CAT)","volume":"32","author":[{"family":"Hemker","given":"H.C."},{"family":"Giesen","given":"P."},{"family":"AlDieri","given":"R."},{"family":"Regnault","given":"V."},{"family":"Smed","given":"E.","non-dropping-particle":"de"},{"family":"Wagenvoord","given":"R."},{"family":"Lecompte","given":"T."},{"family":"Béguin","given":"S."}],"issued":{"date-parts":[["2002"]]}}}],"schema":"https://github.com/citation-style-language/schema/raw/master/csl-citation.json"} </w:instrText>
      </w:r>
      <w:r w:rsidR="00DC7512" w:rsidRPr="00427C1E">
        <w:rPr>
          <w:rFonts w:ascii="Times New Roman" w:hAnsi="Times New Roman" w:cs="Times New Roman"/>
          <w:color w:val="000000" w:themeColor="text1"/>
          <w:sz w:val="28"/>
          <w:szCs w:val="28"/>
          <w:lang w:val="en-US"/>
        </w:rPr>
        <w:fldChar w:fldCharType="separate"/>
      </w:r>
      <w:r w:rsidR="00DC7512" w:rsidRPr="00427C1E">
        <w:rPr>
          <w:rFonts w:ascii="Times New Roman" w:hAnsi="Times New Roman" w:cs="Times New Roman"/>
          <w:color w:val="000000" w:themeColor="text1"/>
          <w:sz w:val="28"/>
          <w:szCs w:val="28"/>
        </w:rPr>
        <w:t>2</w:t>
      </w:r>
      <w:r w:rsidR="00DC7512" w:rsidRPr="00427C1E">
        <w:rPr>
          <w:rFonts w:ascii="Times New Roman" w:hAnsi="Times New Roman" w:cs="Times New Roman"/>
          <w:color w:val="000000" w:themeColor="text1"/>
          <w:sz w:val="28"/>
          <w:szCs w:val="28"/>
          <w:lang w:val="en-US"/>
        </w:rPr>
        <w:fldChar w:fldCharType="end"/>
      </w:r>
      <w:r w:rsidR="00310599" w:rsidRPr="00310599">
        <w:rPr>
          <w:rFonts w:ascii="Times New Roman" w:hAnsi="Times New Roman" w:cs="Times New Roman"/>
          <w:color w:val="000000" w:themeColor="text1"/>
          <w:sz w:val="28"/>
          <w:szCs w:val="28"/>
        </w:rPr>
        <w:t>,</w:t>
      </w:r>
      <w:r w:rsidR="00DC7512" w:rsidRPr="00427C1E">
        <w:rPr>
          <w:rFonts w:ascii="Times New Roman" w:hAnsi="Times New Roman" w:cs="Times New Roman"/>
          <w:color w:val="000000" w:themeColor="text1"/>
          <w:sz w:val="28"/>
          <w:szCs w:val="28"/>
        </w:rPr>
        <w:t xml:space="preserve"> </w:t>
      </w:r>
      <w:r w:rsidR="007819E5" w:rsidRPr="00427C1E">
        <w:rPr>
          <w:rFonts w:ascii="Times New Roman" w:hAnsi="Times New Roman" w:cs="Times New Roman"/>
          <w:color w:val="000000" w:themeColor="text1"/>
          <w:sz w:val="28"/>
          <w:szCs w:val="28"/>
          <w:lang w:val="en-US"/>
        </w:rPr>
        <w:fldChar w:fldCharType="begin"/>
      </w:r>
      <w:r w:rsidR="008579BC">
        <w:rPr>
          <w:rFonts w:ascii="Times New Roman" w:hAnsi="Times New Roman" w:cs="Times New Roman"/>
          <w:color w:val="000000" w:themeColor="text1"/>
          <w:sz w:val="28"/>
          <w:szCs w:val="28"/>
        </w:rPr>
        <w:instrText xml:space="preserve"> ADDIN ZOTERO_ITEM CSL_CITATION {"citationID":"z2QbQ8lK","properties":{"formattedCitation":"(3)","plainCitation":"(3)","noteIndex":0},"citationItems":[{"id":99,"uris":["http://zotero.org/users/local/yCd0M2za/items/QAPPBF8U"],"itemData":{"id":99,"type":"article-journal","container-title":"Journal of Thrombosis and Haemostasis","DOI":"10.1111/jth.15529","ISSN":"1538-7933, 1538-7836","issue":"12","journalAbbreviation":"J of Thrombosis Haemost","language":"en","page":"2907-2917","source":"DOI.org (Crossref)","title":"Thrombin generation assays are versatile tools in blood coagulation analysis: A review of technical features, and applications from research to laboratory routine","title-short":"Thrombin generation assays are versatile tools in blood coagulation analysis","volume":"19","author":[{"family":"Depasse","given":"François"},{"family":"Binder","given":"Nikolaus B."},{"family":"Mueller","given":"Julia"},{"family":"Wissel","given":"Thomas"},{"family":"Schwers","given":"Stephan"},{"family":"Germer","given":"Matthias"},{"family":"Hermes","given":"Björn"},{"family":"Turecek","given":"Peter L."}],"issued":{"date-parts":[["2021",12]]}}}],"schema":"https://github.com/citation-style-language/schema/raw/master/csl-citation.json"} </w:instrText>
      </w:r>
      <w:r w:rsidR="007819E5" w:rsidRPr="00427C1E">
        <w:rPr>
          <w:rFonts w:ascii="Times New Roman" w:hAnsi="Times New Roman" w:cs="Times New Roman"/>
          <w:color w:val="000000" w:themeColor="text1"/>
          <w:sz w:val="28"/>
          <w:szCs w:val="28"/>
          <w:lang w:val="en-US"/>
        </w:rPr>
        <w:fldChar w:fldCharType="separate"/>
      </w:r>
      <w:r w:rsidR="00DC7512" w:rsidRPr="00427C1E">
        <w:rPr>
          <w:rFonts w:ascii="Times New Roman" w:hAnsi="Times New Roman" w:cs="Times New Roman"/>
          <w:color w:val="000000" w:themeColor="text1"/>
          <w:sz w:val="28"/>
          <w:szCs w:val="28"/>
        </w:rPr>
        <w:t>3</w:t>
      </w:r>
      <w:r w:rsidR="007819E5" w:rsidRPr="00427C1E">
        <w:rPr>
          <w:rFonts w:ascii="Times New Roman" w:hAnsi="Times New Roman" w:cs="Times New Roman"/>
          <w:color w:val="000000" w:themeColor="text1"/>
          <w:sz w:val="28"/>
          <w:szCs w:val="28"/>
          <w:lang w:val="en-US"/>
        </w:rPr>
        <w:fldChar w:fldCharType="end"/>
      </w:r>
      <w:r w:rsidR="007819E5" w:rsidRPr="00427C1E">
        <w:rPr>
          <w:rFonts w:ascii="Times New Roman" w:hAnsi="Times New Roman" w:cs="Times New Roman"/>
          <w:color w:val="000000" w:themeColor="text1"/>
          <w:sz w:val="28"/>
          <w:szCs w:val="28"/>
        </w:rPr>
        <w:t>].</w:t>
      </w:r>
      <w:r w:rsidR="007619F1" w:rsidRPr="00427C1E">
        <w:rPr>
          <w:rFonts w:ascii="Times New Roman" w:hAnsi="Times New Roman" w:cs="Times New Roman"/>
          <w:color w:val="000000" w:themeColor="text1"/>
          <w:sz w:val="28"/>
          <w:szCs w:val="28"/>
        </w:rPr>
        <w:t xml:space="preserve"> </w:t>
      </w:r>
      <w:r w:rsidR="00AA2BA1">
        <w:rPr>
          <w:rFonts w:ascii="Times New Roman" w:hAnsi="Times New Roman" w:cs="Times New Roman"/>
          <w:color w:val="000000" w:themeColor="text1"/>
          <w:sz w:val="28"/>
          <w:szCs w:val="28"/>
        </w:rPr>
        <w:t xml:space="preserve">В </w:t>
      </w:r>
      <w:r w:rsidR="00AA2BA1" w:rsidRPr="00427C1E">
        <w:rPr>
          <w:rFonts w:ascii="Times New Roman" w:hAnsi="Times New Roman" w:cs="Times New Roman"/>
          <w:color w:val="000000" w:themeColor="text1"/>
          <w:sz w:val="28"/>
          <w:szCs w:val="28"/>
        </w:rPr>
        <w:t>последние годы</w:t>
      </w:r>
      <w:r w:rsidR="00AA2BA1" w:rsidRPr="00AA2BA1">
        <w:rPr>
          <w:rFonts w:ascii="Times New Roman" w:hAnsi="Times New Roman" w:cs="Times New Roman"/>
          <w:color w:val="000000" w:themeColor="text1"/>
          <w:sz w:val="28"/>
          <w:szCs w:val="28"/>
        </w:rPr>
        <w:t xml:space="preserve"> </w:t>
      </w:r>
      <w:r w:rsidR="00AA2BA1" w:rsidRPr="00427C1E">
        <w:rPr>
          <w:rFonts w:ascii="Times New Roman" w:hAnsi="Times New Roman" w:cs="Times New Roman"/>
          <w:color w:val="000000" w:themeColor="text1"/>
          <w:sz w:val="28"/>
          <w:szCs w:val="28"/>
        </w:rPr>
        <w:t>были введены</w:t>
      </w:r>
      <w:r w:rsidR="00AA2BA1" w:rsidRPr="00427C1E">
        <w:rPr>
          <w:rFonts w:ascii="Times New Roman" w:hAnsi="Times New Roman" w:cs="Times New Roman"/>
          <w:sz w:val="28"/>
          <w:szCs w:val="28"/>
        </w:rPr>
        <w:t xml:space="preserve"> </w:t>
      </w:r>
      <w:r w:rsidR="00AA2BA1">
        <w:rPr>
          <w:rFonts w:ascii="Times New Roman" w:hAnsi="Times New Roman" w:cs="Times New Roman"/>
          <w:color w:val="000000" w:themeColor="text1"/>
          <w:sz w:val="28"/>
          <w:szCs w:val="28"/>
        </w:rPr>
        <w:t>н</w:t>
      </w:r>
      <w:r w:rsidRPr="00427C1E">
        <w:rPr>
          <w:rFonts w:ascii="Times New Roman" w:hAnsi="Times New Roman" w:cs="Times New Roman"/>
          <w:color w:val="000000" w:themeColor="text1"/>
          <w:sz w:val="28"/>
          <w:szCs w:val="28"/>
        </w:rPr>
        <w:t>есколько технологий для измерения образования тромбина</w:t>
      </w:r>
      <w:r w:rsidR="00AA2BA1">
        <w:rPr>
          <w:rFonts w:ascii="Times New Roman" w:hAnsi="Times New Roman" w:cs="Times New Roman"/>
          <w:color w:val="000000" w:themeColor="text1"/>
          <w:sz w:val="28"/>
          <w:szCs w:val="28"/>
        </w:rPr>
        <w:t>.</w:t>
      </w:r>
      <w:r w:rsidRPr="00427C1E">
        <w:rPr>
          <w:rFonts w:ascii="Times New Roman" w:hAnsi="Times New Roman" w:cs="Times New Roman"/>
          <w:color w:val="000000" w:themeColor="text1"/>
          <w:sz w:val="28"/>
          <w:szCs w:val="28"/>
        </w:rPr>
        <w:t xml:space="preserve"> </w:t>
      </w:r>
      <w:r w:rsidR="00ED4E40" w:rsidRPr="00427C1E">
        <w:rPr>
          <w:rFonts w:ascii="Times New Roman" w:hAnsi="Times New Roman" w:cs="Times New Roman"/>
          <w:sz w:val="28"/>
          <w:szCs w:val="28"/>
        </w:rPr>
        <w:t>Классическим методом определения ГТ остается калибров</w:t>
      </w:r>
      <w:r w:rsidR="00810C5D">
        <w:rPr>
          <w:rFonts w:ascii="Times New Roman" w:hAnsi="Times New Roman" w:cs="Times New Roman"/>
          <w:sz w:val="28"/>
          <w:szCs w:val="28"/>
        </w:rPr>
        <w:t>анная</w:t>
      </w:r>
      <w:r w:rsidR="00ED4E40" w:rsidRPr="00427C1E">
        <w:rPr>
          <w:rFonts w:ascii="Times New Roman" w:hAnsi="Times New Roman" w:cs="Times New Roman"/>
          <w:sz w:val="28"/>
          <w:szCs w:val="28"/>
        </w:rPr>
        <w:t xml:space="preserve"> автоматизированная тромбограмма (КАТ), </w:t>
      </w:r>
      <w:r w:rsidR="00AA2BA1" w:rsidRPr="00427C1E">
        <w:rPr>
          <w:rFonts w:ascii="Times New Roman" w:hAnsi="Times New Roman" w:cs="Times New Roman"/>
          <w:sz w:val="28"/>
          <w:szCs w:val="28"/>
        </w:rPr>
        <w:t>преимуществом</w:t>
      </w:r>
      <w:r w:rsidR="00ED4E40" w:rsidRPr="00427C1E">
        <w:rPr>
          <w:rFonts w:ascii="Times New Roman" w:hAnsi="Times New Roman" w:cs="Times New Roman"/>
          <w:sz w:val="28"/>
          <w:szCs w:val="28"/>
        </w:rPr>
        <w:t xml:space="preserve"> которой </w:t>
      </w:r>
      <w:r w:rsidR="00AA2BA1" w:rsidRPr="00427C1E">
        <w:rPr>
          <w:rFonts w:ascii="Times New Roman" w:hAnsi="Times New Roman" w:cs="Times New Roman"/>
          <w:sz w:val="28"/>
          <w:szCs w:val="28"/>
        </w:rPr>
        <w:t>явля</w:t>
      </w:r>
      <w:r w:rsidR="00AA2BA1">
        <w:rPr>
          <w:rFonts w:ascii="Times New Roman" w:hAnsi="Times New Roman" w:cs="Times New Roman"/>
          <w:sz w:val="28"/>
          <w:szCs w:val="28"/>
        </w:rPr>
        <w:t>ю</w:t>
      </w:r>
      <w:r w:rsidR="00AA2BA1" w:rsidRPr="00427C1E">
        <w:rPr>
          <w:rFonts w:ascii="Times New Roman" w:hAnsi="Times New Roman" w:cs="Times New Roman"/>
          <w:sz w:val="28"/>
          <w:szCs w:val="28"/>
        </w:rPr>
        <w:t>тся</w:t>
      </w:r>
      <w:r w:rsidR="00ED4E40" w:rsidRPr="00427C1E">
        <w:rPr>
          <w:rFonts w:ascii="Times New Roman" w:hAnsi="Times New Roman" w:cs="Times New Roman"/>
          <w:sz w:val="28"/>
          <w:szCs w:val="28"/>
        </w:rPr>
        <w:t xml:space="preserve"> различные вариации </w:t>
      </w:r>
      <w:r w:rsidR="00AA2BA1" w:rsidRPr="00427C1E">
        <w:rPr>
          <w:rFonts w:ascii="Times New Roman" w:hAnsi="Times New Roman" w:cs="Times New Roman"/>
          <w:sz w:val="28"/>
          <w:szCs w:val="28"/>
        </w:rPr>
        <w:t>применяемого</w:t>
      </w:r>
      <w:r w:rsidR="00BF6C38">
        <w:rPr>
          <w:rFonts w:ascii="Times New Roman" w:hAnsi="Times New Roman" w:cs="Times New Roman"/>
          <w:sz w:val="28"/>
          <w:szCs w:val="28"/>
        </w:rPr>
        <w:t xml:space="preserve"> материала: </w:t>
      </w:r>
      <w:r w:rsidR="00ED4E40" w:rsidRPr="00427C1E">
        <w:rPr>
          <w:rFonts w:ascii="Times New Roman" w:hAnsi="Times New Roman" w:cs="Times New Roman"/>
          <w:sz w:val="28"/>
          <w:szCs w:val="28"/>
        </w:rPr>
        <w:t>бедной (PP</w:t>
      </w:r>
      <w:r w:rsidR="00AA2BA1">
        <w:rPr>
          <w:rFonts w:ascii="Times New Roman" w:hAnsi="Times New Roman" w:cs="Times New Roman"/>
          <w:sz w:val="28"/>
          <w:szCs w:val="28"/>
        </w:rPr>
        <w:t>P) и богатой тромбоцитами плазмы</w:t>
      </w:r>
      <w:r w:rsidR="00ED4E40" w:rsidRPr="00427C1E">
        <w:rPr>
          <w:rFonts w:ascii="Times New Roman" w:hAnsi="Times New Roman" w:cs="Times New Roman"/>
          <w:sz w:val="28"/>
          <w:szCs w:val="28"/>
        </w:rPr>
        <w:t xml:space="preserve"> (PRP), цельной крови, а также изучение активности</w:t>
      </w:r>
      <w:r w:rsidR="00AA2BA1">
        <w:rPr>
          <w:rFonts w:ascii="Times New Roman" w:hAnsi="Times New Roman" w:cs="Times New Roman"/>
          <w:sz w:val="28"/>
          <w:szCs w:val="28"/>
        </w:rPr>
        <w:t xml:space="preserve"> системы протеина С и</w:t>
      </w:r>
      <w:r w:rsidR="00ED4E40" w:rsidRPr="00427C1E">
        <w:rPr>
          <w:rFonts w:ascii="Times New Roman" w:hAnsi="Times New Roman" w:cs="Times New Roman"/>
          <w:sz w:val="28"/>
          <w:szCs w:val="28"/>
        </w:rPr>
        <w:t xml:space="preserve"> прок</w:t>
      </w:r>
      <w:r w:rsidR="00E022EA">
        <w:rPr>
          <w:rFonts w:ascii="Times New Roman" w:hAnsi="Times New Roman" w:cs="Times New Roman"/>
          <w:sz w:val="28"/>
          <w:szCs w:val="28"/>
        </w:rPr>
        <w:t>о</w:t>
      </w:r>
      <w:r w:rsidR="00ED4E40" w:rsidRPr="00427C1E">
        <w:rPr>
          <w:rFonts w:ascii="Times New Roman" w:hAnsi="Times New Roman" w:cs="Times New Roman"/>
          <w:sz w:val="28"/>
          <w:szCs w:val="28"/>
        </w:rPr>
        <w:t>агулянтной активности микрочастиц. Однако это технология обладает большой вариабельностью результатов теста, отсутствием контролей, един</w:t>
      </w:r>
      <w:r w:rsidR="00AA2BA1">
        <w:rPr>
          <w:rFonts w:ascii="Times New Roman" w:hAnsi="Times New Roman" w:cs="Times New Roman"/>
          <w:sz w:val="28"/>
          <w:szCs w:val="28"/>
        </w:rPr>
        <w:t>ого</w:t>
      </w:r>
      <w:r w:rsidR="00ED4E40" w:rsidRPr="00427C1E">
        <w:rPr>
          <w:rFonts w:ascii="Times New Roman" w:hAnsi="Times New Roman" w:cs="Times New Roman"/>
          <w:sz w:val="28"/>
          <w:szCs w:val="28"/>
        </w:rPr>
        <w:t xml:space="preserve"> протоко</w:t>
      </w:r>
      <w:r w:rsidR="00A3372E">
        <w:rPr>
          <w:rFonts w:ascii="Times New Roman" w:hAnsi="Times New Roman" w:cs="Times New Roman"/>
          <w:sz w:val="28"/>
          <w:szCs w:val="28"/>
        </w:rPr>
        <w:t>ла для преаналитическ</w:t>
      </w:r>
      <w:r w:rsidR="00AA2BA1">
        <w:rPr>
          <w:rFonts w:ascii="Times New Roman" w:hAnsi="Times New Roman" w:cs="Times New Roman"/>
          <w:sz w:val="28"/>
          <w:szCs w:val="28"/>
        </w:rPr>
        <w:t>ого</w:t>
      </w:r>
      <w:r w:rsidR="00A3372E">
        <w:rPr>
          <w:rFonts w:ascii="Times New Roman" w:hAnsi="Times New Roman" w:cs="Times New Roman"/>
          <w:sz w:val="28"/>
          <w:szCs w:val="28"/>
        </w:rPr>
        <w:t xml:space="preserve"> этапа, </w:t>
      </w:r>
      <w:r w:rsidR="00AA2BA1" w:rsidRPr="00427C1E">
        <w:rPr>
          <w:rFonts w:ascii="Times New Roman" w:hAnsi="Times New Roman" w:cs="Times New Roman"/>
          <w:sz w:val="28"/>
          <w:szCs w:val="28"/>
        </w:rPr>
        <w:t xml:space="preserve">отсутствием </w:t>
      </w:r>
      <w:r w:rsidR="00AA2BA1">
        <w:rPr>
          <w:rFonts w:ascii="Times New Roman" w:hAnsi="Times New Roman" w:cs="Times New Roman"/>
          <w:sz w:val="28"/>
          <w:szCs w:val="28"/>
        </w:rPr>
        <w:t xml:space="preserve">стандартной </w:t>
      </w:r>
      <w:r w:rsidR="00ED4E40" w:rsidRPr="00427C1E">
        <w:rPr>
          <w:rFonts w:ascii="Times New Roman" w:hAnsi="Times New Roman" w:cs="Times New Roman"/>
          <w:sz w:val="28"/>
          <w:szCs w:val="28"/>
        </w:rPr>
        <w:t>концентрации и способа получения триг</w:t>
      </w:r>
      <w:r w:rsidR="00AA2BA1">
        <w:rPr>
          <w:rFonts w:ascii="Times New Roman" w:hAnsi="Times New Roman" w:cs="Times New Roman"/>
          <w:sz w:val="28"/>
          <w:szCs w:val="28"/>
        </w:rPr>
        <w:t>г</w:t>
      </w:r>
      <w:r w:rsidR="00ED4E40" w:rsidRPr="00427C1E">
        <w:rPr>
          <w:rFonts w:ascii="Times New Roman" w:hAnsi="Times New Roman" w:cs="Times New Roman"/>
          <w:sz w:val="28"/>
          <w:szCs w:val="28"/>
        </w:rPr>
        <w:t>е</w:t>
      </w:r>
      <w:r w:rsidR="00C279C9">
        <w:rPr>
          <w:rFonts w:ascii="Times New Roman" w:hAnsi="Times New Roman" w:cs="Times New Roman"/>
          <w:sz w:val="28"/>
          <w:szCs w:val="28"/>
        </w:rPr>
        <w:t>р</w:t>
      </w:r>
      <w:r w:rsidR="00ED4E40" w:rsidRPr="00427C1E">
        <w:rPr>
          <w:rFonts w:ascii="Times New Roman" w:hAnsi="Times New Roman" w:cs="Times New Roman"/>
          <w:sz w:val="28"/>
          <w:szCs w:val="28"/>
        </w:rPr>
        <w:t xml:space="preserve">ных реагентов, что затрудняет </w:t>
      </w:r>
      <w:r w:rsidR="00E022EA">
        <w:rPr>
          <w:rFonts w:ascii="Times New Roman" w:hAnsi="Times New Roman" w:cs="Times New Roman"/>
          <w:sz w:val="28"/>
          <w:szCs w:val="28"/>
        </w:rPr>
        <w:t xml:space="preserve">ее </w:t>
      </w:r>
      <w:r w:rsidR="00ED4E40" w:rsidRPr="00427C1E">
        <w:rPr>
          <w:rFonts w:ascii="Times New Roman" w:hAnsi="Times New Roman" w:cs="Times New Roman"/>
          <w:sz w:val="28"/>
          <w:szCs w:val="28"/>
        </w:rPr>
        <w:t>применение в клинической практике.</w:t>
      </w:r>
      <w:r w:rsidRPr="00427C1E">
        <w:rPr>
          <w:rFonts w:ascii="Times New Roman" w:hAnsi="Times New Roman" w:cs="Times New Roman"/>
          <w:sz w:val="28"/>
          <w:szCs w:val="28"/>
        </w:rPr>
        <w:t xml:space="preserve"> </w:t>
      </w:r>
      <w:r w:rsidR="00F45E4C">
        <w:rPr>
          <w:rFonts w:ascii="Times New Roman" w:hAnsi="Times New Roman" w:cs="Times New Roman"/>
          <w:sz w:val="28"/>
          <w:szCs w:val="28"/>
        </w:rPr>
        <w:t>В п</w:t>
      </w:r>
      <w:r w:rsidR="00ED4E40" w:rsidRPr="00427C1E">
        <w:rPr>
          <w:rFonts w:ascii="Times New Roman" w:hAnsi="Times New Roman" w:cs="Times New Roman"/>
          <w:sz w:val="28"/>
          <w:szCs w:val="28"/>
        </w:rPr>
        <w:t xml:space="preserve">оследнее время появляются новые полностью автоматизированные </w:t>
      </w:r>
      <w:r w:rsidR="00AA2BA1">
        <w:rPr>
          <w:rFonts w:ascii="Times New Roman" w:hAnsi="Times New Roman" w:cs="Times New Roman"/>
          <w:sz w:val="28"/>
          <w:szCs w:val="28"/>
        </w:rPr>
        <w:t xml:space="preserve">приборы для </w:t>
      </w:r>
      <w:r w:rsidR="00A3372E">
        <w:rPr>
          <w:rFonts w:ascii="Times New Roman" w:hAnsi="Times New Roman" w:cs="Times New Roman"/>
          <w:sz w:val="28"/>
          <w:szCs w:val="28"/>
        </w:rPr>
        <w:t>ТГТ, такие как</w:t>
      </w:r>
      <w:r w:rsidR="00ED4E40" w:rsidRPr="00427C1E">
        <w:rPr>
          <w:rFonts w:ascii="Times New Roman" w:hAnsi="Times New Roman" w:cs="Times New Roman"/>
          <w:sz w:val="28"/>
          <w:szCs w:val="28"/>
        </w:rPr>
        <w:t xml:space="preserve"> система</w:t>
      </w:r>
      <w:r w:rsidRPr="00427C1E">
        <w:rPr>
          <w:rFonts w:ascii="Times New Roman" w:hAnsi="Times New Roman" w:cs="Times New Roman"/>
          <w:sz w:val="28"/>
          <w:szCs w:val="28"/>
        </w:rPr>
        <w:t xml:space="preserve"> ST Genesia (Diagnostica Stago), </w:t>
      </w:r>
      <w:r w:rsidR="0036179C" w:rsidRPr="00427C1E">
        <w:rPr>
          <w:rFonts w:ascii="Times New Roman" w:hAnsi="Times New Roman" w:cs="Times New Roman"/>
          <w:sz w:val="28"/>
          <w:szCs w:val="28"/>
          <w:lang w:val="en-US"/>
        </w:rPr>
        <w:t>ETP</w:t>
      </w:r>
      <w:r w:rsidR="0036179C" w:rsidRPr="00427C1E">
        <w:rPr>
          <w:rFonts w:ascii="Times New Roman" w:hAnsi="Times New Roman" w:cs="Times New Roman"/>
          <w:sz w:val="28"/>
          <w:szCs w:val="28"/>
        </w:rPr>
        <w:t xml:space="preserve"> </w:t>
      </w:r>
      <w:r w:rsidR="0036179C" w:rsidRPr="00427C1E">
        <w:rPr>
          <w:rFonts w:ascii="Times New Roman" w:hAnsi="Times New Roman" w:cs="Times New Roman"/>
          <w:sz w:val="28"/>
          <w:szCs w:val="28"/>
          <w:lang w:val="en-US"/>
        </w:rPr>
        <w:t>innovance</w:t>
      </w:r>
      <w:r w:rsidR="0036179C" w:rsidRPr="00427C1E">
        <w:rPr>
          <w:rFonts w:ascii="Times New Roman" w:hAnsi="Times New Roman" w:cs="Times New Roman"/>
          <w:sz w:val="28"/>
          <w:szCs w:val="28"/>
        </w:rPr>
        <w:t xml:space="preserve"> в коагулометр</w:t>
      </w:r>
      <w:r w:rsidR="00AA2BA1">
        <w:rPr>
          <w:rFonts w:ascii="Times New Roman" w:hAnsi="Times New Roman" w:cs="Times New Roman"/>
          <w:sz w:val="28"/>
          <w:szCs w:val="28"/>
        </w:rPr>
        <w:t xml:space="preserve">ах </w:t>
      </w:r>
      <w:r w:rsidR="00AA2BA1" w:rsidRPr="00AA2BA1">
        <w:rPr>
          <w:rFonts w:ascii="Times New Roman" w:hAnsi="Times New Roman" w:cs="Times New Roman"/>
          <w:sz w:val="28"/>
          <w:szCs w:val="28"/>
        </w:rPr>
        <w:t>Siemens BCS и BCS XP</w:t>
      </w:r>
      <w:r w:rsidR="00AA2BA1">
        <w:rPr>
          <w:rFonts w:ascii="Times New Roman" w:hAnsi="Times New Roman" w:cs="Times New Roman"/>
          <w:sz w:val="28"/>
          <w:szCs w:val="28"/>
        </w:rPr>
        <w:t xml:space="preserve">, </w:t>
      </w:r>
      <w:r w:rsidRPr="00427C1E">
        <w:rPr>
          <w:rFonts w:ascii="Times New Roman" w:hAnsi="Times New Roman" w:cs="Times New Roman"/>
          <w:sz w:val="28"/>
          <w:szCs w:val="28"/>
        </w:rPr>
        <w:t>Ceveron TGA (Technoclone).</w:t>
      </w:r>
      <w:r w:rsidR="00ED4E40" w:rsidRPr="00427C1E">
        <w:rPr>
          <w:rFonts w:ascii="Times New Roman" w:hAnsi="Times New Roman" w:cs="Times New Roman"/>
          <w:sz w:val="28"/>
          <w:szCs w:val="28"/>
        </w:rPr>
        <w:t xml:space="preserve"> </w:t>
      </w:r>
      <w:r w:rsidR="00310599" w:rsidRPr="00BD14AA">
        <w:rPr>
          <w:rFonts w:ascii="Times New Roman" w:hAnsi="Times New Roman" w:cs="Times New Roman"/>
          <w:sz w:val="28"/>
          <w:szCs w:val="28"/>
        </w:rPr>
        <w:t>В</w:t>
      </w:r>
      <w:r w:rsidR="00F45E4C" w:rsidRPr="00BD14AA">
        <w:rPr>
          <w:rFonts w:ascii="Times New Roman" w:hAnsi="Times New Roman" w:cs="Times New Roman"/>
          <w:sz w:val="28"/>
          <w:szCs w:val="28"/>
        </w:rPr>
        <w:t xml:space="preserve">опрос стандартизации </w:t>
      </w:r>
      <w:r w:rsidR="00ED4E40" w:rsidRPr="00BD14AA">
        <w:rPr>
          <w:rFonts w:ascii="Times New Roman" w:hAnsi="Times New Roman" w:cs="Times New Roman"/>
          <w:sz w:val="28"/>
          <w:szCs w:val="28"/>
        </w:rPr>
        <w:t xml:space="preserve">для этих </w:t>
      </w:r>
      <w:r w:rsidR="00AA2BA1" w:rsidRPr="00BD14AA">
        <w:rPr>
          <w:rFonts w:ascii="Times New Roman" w:hAnsi="Times New Roman" w:cs="Times New Roman"/>
          <w:sz w:val="28"/>
          <w:szCs w:val="28"/>
        </w:rPr>
        <w:t>технологий все еще</w:t>
      </w:r>
      <w:r w:rsidR="00ED4E40" w:rsidRPr="00BD14AA">
        <w:rPr>
          <w:rFonts w:ascii="Times New Roman" w:hAnsi="Times New Roman" w:cs="Times New Roman"/>
          <w:sz w:val="28"/>
          <w:szCs w:val="28"/>
        </w:rPr>
        <w:t xml:space="preserve"> остается </w:t>
      </w:r>
      <w:r w:rsidR="00AA2BA1" w:rsidRPr="00BD14AA">
        <w:rPr>
          <w:rFonts w:ascii="Times New Roman" w:hAnsi="Times New Roman" w:cs="Times New Roman"/>
          <w:sz w:val="28"/>
          <w:szCs w:val="28"/>
        </w:rPr>
        <w:t>открытым</w:t>
      </w:r>
      <w:r w:rsidR="00ED4E40" w:rsidRPr="00BD14AA">
        <w:rPr>
          <w:rFonts w:ascii="Times New Roman" w:hAnsi="Times New Roman" w:cs="Times New Roman"/>
          <w:sz w:val="28"/>
          <w:szCs w:val="28"/>
        </w:rPr>
        <w:t>.</w:t>
      </w:r>
      <w:r w:rsidR="00ED4E40" w:rsidRPr="00427C1E">
        <w:rPr>
          <w:rFonts w:ascii="Times New Roman" w:hAnsi="Times New Roman" w:cs="Times New Roman"/>
          <w:sz w:val="28"/>
          <w:szCs w:val="28"/>
        </w:rPr>
        <w:t xml:space="preserve"> </w:t>
      </w:r>
    </w:p>
    <w:p w14:paraId="534ACFA5" w14:textId="19818F39" w:rsidR="00AD1E9E" w:rsidRPr="00427C1E" w:rsidRDefault="0036179C" w:rsidP="0040071C">
      <w:pPr>
        <w:spacing w:line="480" w:lineRule="auto"/>
        <w:ind w:firstLine="709"/>
        <w:contextualSpacing/>
        <w:jc w:val="both"/>
        <w:rPr>
          <w:rFonts w:ascii="Times New Roman" w:hAnsi="Times New Roman" w:cs="Times New Roman"/>
          <w:sz w:val="28"/>
          <w:szCs w:val="28"/>
        </w:rPr>
      </w:pPr>
      <w:r w:rsidRPr="00427C1E">
        <w:rPr>
          <w:rFonts w:ascii="Times New Roman" w:hAnsi="Times New Roman" w:cs="Times New Roman"/>
          <w:sz w:val="28"/>
          <w:szCs w:val="28"/>
        </w:rPr>
        <w:t xml:space="preserve">В </w:t>
      </w:r>
      <w:r w:rsidR="00427C1E" w:rsidRPr="00427C1E">
        <w:rPr>
          <w:rFonts w:ascii="Times New Roman" w:hAnsi="Times New Roman" w:cs="Times New Roman"/>
          <w:sz w:val="28"/>
          <w:szCs w:val="28"/>
        </w:rPr>
        <w:t>условиях</w:t>
      </w:r>
      <w:r w:rsidRPr="00427C1E">
        <w:rPr>
          <w:rFonts w:ascii="Times New Roman" w:hAnsi="Times New Roman" w:cs="Times New Roman"/>
          <w:sz w:val="28"/>
          <w:szCs w:val="28"/>
        </w:rPr>
        <w:t xml:space="preserve"> клиническо</w:t>
      </w:r>
      <w:r w:rsidR="00BD698B">
        <w:rPr>
          <w:rFonts w:ascii="Times New Roman" w:hAnsi="Times New Roman" w:cs="Times New Roman"/>
          <w:sz w:val="28"/>
          <w:szCs w:val="28"/>
        </w:rPr>
        <w:t>-</w:t>
      </w:r>
      <w:r w:rsidRPr="00427C1E">
        <w:rPr>
          <w:rFonts w:ascii="Times New Roman" w:hAnsi="Times New Roman" w:cs="Times New Roman"/>
          <w:sz w:val="28"/>
          <w:szCs w:val="28"/>
        </w:rPr>
        <w:t xml:space="preserve">диагностической </w:t>
      </w:r>
      <w:r w:rsidR="00BD698B">
        <w:rPr>
          <w:rFonts w:ascii="Times New Roman" w:hAnsi="Times New Roman" w:cs="Times New Roman"/>
          <w:sz w:val="28"/>
          <w:szCs w:val="28"/>
        </w:rPr>
        <w:t>лаборатории,</w:t>
      </w:r>
      <w:r w:rsidR="00C174FD">
        <w:rPr>
          <w:rFonts w:ascii="Times New Roman" w:hAnsi="Times New Roman" w:cs="Times New Roman"/>
          <w:sz w:val="28"/>
          <w:szCs w:val="28"/>
        </w:rPr>
        <w:t xml:space="preserve"> </w:t>
      </w:r>
      <w:r w:rsidRPr="00427C1E">
        <w:rPr>
          <w:rFonts w:ascii="Times New Roman" w:hAnsi="Times New Roman" w:cs="Times New Roman"/>
          <w:sz w:val="28"/>
          <w:szCs w:val="28"/>
        </w:rPr>
        <w:t>несомненно</w:t>
      </w:r>
      <w:r w:rsidR="00BD698B">
        <w:rPr>
          <w:rFonts w:ascii="Times New Roman" w:hAnsi="Times New Roman" w:cs="Times New Roman"/>
          <w:sz w:val="28"/>
          <w:szCs w:val="28"/>
        </w:rPr>
        <w:t>,</w:t>
      </w:r>
      <w:r w:rsidRPr="00427C1E">
        <w:rPr>
          <w:rFonts w:ascii="Times New Roman" w:hAnsi="Times New Roman" w:cs="Times New Roman"/>
          <w:sz w:val="28"/>
          <w:szCs w:val="28"/>
        </w:rPr>
        <w:t xml:space="preserve"> удобен и применим прибор, который способе</w:t>
      </w:r>
      <w:r w:rsidRPr="00427C1E">
        <w:rPr>
          <w:rFonts w:ascii="Times New Roman" w:hAnsi="Times New Roman" w:cs="Times New Roman"/>
          <w:sz w:val="28"/>
          <w:szCs w:val="28"/>
        </w:rPr>
        <w:t>н выполнять коагуло</w:t>
      </w:r>
      <w:r w:rsidR="00427C1E">
        <w:rPr>
          <w:rFonts w:ascii="Times New Roman" w:hAnsi="Times New Roman" w:cs="Times New Roman"/>
          <w:sz w:val="28"/>
          <w:szCs w:val="28"/>
        </w:rPr>
        <w:t>ло</w:t>
      </w:r>
      <w:r w:rsidRPr="00427C1E">
        <w:rPr>
          <w:rFonts w:ascii="Times New Roman" w:hAnsi="Times New Roman" w:cs="Times New Roman"/>
          <w:sz w:val="28"/>
          <w:szCs w:val="28"/>
        </w:rPr>
        <w:t>гиче</w:t>
      </w:r>
      <w:r w:rsidR="00427C1E">
        <w:rPr>
          <w:rFonts w:ascii="Times New Roman" w:hAnsi="Times New Roman" w:cs="Times New Roman"/>
          <w:sz w:val="28"/>
          <w:szCs w:val="28"/>
        </w:rPr>
        <w:t>с</w:t>
      </w:r>
      <w:r w:rsidRPr="00427C1E">
        <w:rPr>
          <w:rFonts w:ascii="Times New Roman" w:hAnsi="Times New Roman" w:cs="Times New Roman"/>
          <w:sz w:val="28"/>
          <w:szCs w:val="28"/>
        </w:rPr>
        <w:t>кие</w:t>
      </w:r>
      <w:r w:rsidR="00427C1E">
        <w:rPr>
          <w:rFonts w:ascii="Times New Roman" w:hAnsi="Times New Roman" w:cs="Times New Roman"/>
          <w:sz w:val="28"/>
          <w:szCs w:val="28"/>
        </w:rPr>
        <w:t xml:space="preserve"> ис</w:t>
      </w:r>
      <w:r w:rsidRPr="00427C1E">
        <w:rPr>
          <w:rFonts w:ascii="Times New Roman" w:hAnsi="Times New Roman" w:cs="Times New Roman"/>
          <w:sz w:val="28"/>
          <w:szCs w:val="28"/>
        </w:rPr>
        <w:t>следования (коагуляционные, хромогенные и турби</w:t>
      </w:r>
      <w:r w:rsidR="00427C1E">
        <w:rPr>
          <w:rFonts w:ascii="Times New Roman" w:hAnsi="Times New Roman" w:cs="Times New Roman"/>
          <w:sz w:val="28"/>
          <w:szCs w:val="28"/>
        </w:rPr>
        <w:t>ди</w:t>
      </w:r>
      <w:r w:rsidRPr="00427C1E">
        <w:rPr>
          <w:rFonts w:ascii="Times New Roman" w:hAnsi="Times New Roman" w:cs="Times New Roman"/>
          <w:sz w:val="28"/>
          <w:szCs w:val="28"/>
        </w:rPr>
        <w:t>метрические анализы)</w:t>
      </w:r>
      <w:r w:rsidR="00427C1E">
        <w:rPr>
          <w:rFonts w:ascii="Times New Roman" w:hAnsi="Times New Roman" w:cs="Times New Roman"/>
          <w:sz w:val="28"/>
          <w:szCs w:val="28"/>
        </w:rPr>
        <w:t xml:space="preserve"> наряду с ТГТ</w:t>
      </w:r>
      <w:r w:rsidR="002A1FA4">
        <w:rPr>
          <w:rFonts w:ascii="Times New Roman" w:hAnsi="Times New Roman" w:cs="Times New Roman"/>
          <w:sz w:val="28"/>
          <w:szCs w:val="28"/>
        </w:rPr>
        <w:t>,</w:t>
      </w:r>
      <w:r w:rsidR="00427C1E">
        <w:rPr>
          <w:rFonts w:ascii="Times New Roman" w:hAnsi="Times New Roman" w:cs="Times New Roman"/>
          <w:sz w:val="28"/>
          <w:szCs w:val="28"/>
        </w:rPr>
        <w:t xml:space="preserve"> не пре</w:t>
      </w:r>
      <w:r w:rsidRPr="00427C1E">
        <w:rPr>
          <w:rFonts w:ascii="Times New Roman" w:hAnsi="Times New Roman" w:cs="Times New Roman"/>
          <w:sz w:val="28"/>
          <w:szCs w:val="28"/>
        </w:rPr>
        <w:t>рывая основной работы</w:t>
      </w:r>
      <w:r w:rsidR="00E022EA">
        <w:rPr>
          <w:rFonts w:ascii="Times New Roman" w:hAnsi="Times New Roman" w:cs="Times New Roman"/>
          <w:sz w:val="28"/>
          <w:szCs w:val="28"/>
        </w:rPr>
        <w:t>.</w:t>
      </w:r>
      <w:r w:rsidRPr="00427C1E">
        <w:rPr>
          <w:rFonts w:ascii="Times New Roman" w:hAnsi="Times New Roman" w:cs="Times New Roman"/>
          <w:sz w:val="28"/>
          <w:szCs w:val="28"/>
        </w:rPr>
        <w:t xml:space="preserve"> </w:t>
      </w:r>
      <w:r w:rsidR="00E022EA" w:rsidRPr="00BD14AA">
        <w:rPr>
          <w:rFonts w:ascii="Times New Roman" w:hAnsi="Times New Roman" w:cs="Times New Roman"/>
          <w:sz w:val="28"/>
          <w:szCs w:val="28"/>
        </w:rPr>
        <w:t>Т</w:t>
      </w:r>
      <w:r w:rsidRPr="00BD14AA">
        <w:rPr>
          <w:rFonts w:ascii="Times New Roman" w:hAnsi="Times New Roman" w:cs="Times New Roman"/>
          <w:sz w:val="28"/>
          <w:szCs w:val="28"/>
        </w:rPr>
        <w:t>аким</w:t>
      </w:r>
      <w:r w:rsidR="00F45E4C" w:rsidRPr="00BD14AA">
        <w:rPr>
          <w:rFonts w:ascii="Times New Roman" w:hAnsi="Times New Roman" w:cs="Times New Roman"/>
          <w:sz w:val="28"/>
          <w:szCs w:val="28"/>
        </w:rPr>
        <w:t xml:space="preserve"> прибором</w:t>
      </w:r>
      <w:r w:rsidRPr="00BD14AA">
        <w:rPr>
          <w:rFonts w:ascii="Times New Roman" w:hAnsi="Times New Roman" w:cs="Times New Roman"/>
          <w:sz w:val="28"/>
          <w:szCs w:val="28"/>
        </w:rPr>
        <w:t xml:space="preserve"> </w:t>
      </w:r>
      <w:r w:rsidR="00427C1E" w:rsidRPr="00BD14AA">
        <w:rPr>
          <w:rFonts w:ascii="Times New Roman" w:hAnsi="Times New Roman" w:cs="Times New Roman"/>
          <w:sz w:val="28"/>
          <w:szCs w:val="28"/>
        </w:rPr>
        <w:t>является</w:t>
      </w:r>
      <w:r w:rsidRPr="00BD14AA">
        <w:rPr>
          <w:rFonts w:ascii="Times New Roman" w:hAnsi="Times New Roman" w:cs="Times New Roman"/>
          <w:sz w:val="28"/>
          <w:szCs w:val="28"/>
        </w:rPr>
        <w:t xml:space="preserve"> автоматический анализатор </w:t>
      </w:r>
      <w:r w:rsidR="00AD1E9E" w:rsidRPr="00BD14AA">
        <w:rPr>
          <w:rFonts w:ascii="Times New Roman" w:hAnsi="Times New Roman" w:cs="Times New Roman"/>
          <w:sz w:val="28"/>
          <w:szCs w:val="28"/>
          <w:lang w:val="en-US"/>
        </w:rPr>
        <w:t>Ceveron</w:t>
      </w:r>
      <w:r w:rsidR="00AD1E9E" w:rsidRPr="00BD14AA">
        <w:rPr>
          <w:rFonts w:ascii="Times New Roman" w:hAnsi="Times New Roman" w:cs="Times New Roman"/>
          <w:sz w:val="28"/>
          <w:szCs w:val="28"/>
        </w:rPr>
        <w:t xml:space="preserve"> </w:t>
      </w:r>
      <w:r w:rsidR="00AD1E9E" w:rsidRPr="00BD14AA">
        <w:rPr>
          <w:rFonts w:ascii="Times New Roman" w:hAnsi="Times New Roman" w:cs="Times New Roman"/>
          <w:sz w:val="28"/>
          <w:szCs w:val="28"/>
          <w:lang w:val="en-US"/>
        </w:rPr>
        <w:t>Alpha</w:t>
      </w:r>
      <w:r w:rsidR="00AD1E9E" w:rsidRPr="00BD14AA">
        <w:rPr>
          <w:rFonts w:ascii="Times New Roman" w:hAnsi="Times New Roman" w:cs="Times New Roman"/>
          <w:sz w:val="28"/>
          <w:szCs w:val="28"/>
        </w:rPr>
        <w:t xml:space="preserve"> </w:t>
      </w:r>
      <w:r w:rsidR="00AD1E9E" w:rsidRPr="00BD14AA">
        <w:rPr>
          <w:rFonts w:ascii="Times New Roman" w:hAnsi="Times New Roman" w:cs="Times New Roman"/>
          <w:sz w:val="28"/>
          <w:szCs w:val="28"/>
          <w:lang w:val="en-US"/>
        </w:rPr>
        <w:t>TGA</w:t>
      </w:r>
      <w:r w:rsidR="00AD1E9E" w:rsidRPr="00BD14AA">
        <w:rPr>
          <w:rFonts w:ascii="Times New Roman" w:hAnsi="Times New Roman" w:cs="Times New Roman"/>
          <w:sz w:val="28"/>
          <w:szCs w:val="28"/>
        </w:rPr>
        <w:t xml:space="preserve"> (</w:t>
      </w:r>
      <w:r w:rsidR="00AD1E9E" w:rsidRPr="00BD14AA">
        <w:rPr>
          <w:rFonts w:ascii="Times New Roman" w:hAnsi="Times New Roman" w:cs="Times New Roman"/>
          <w:sz w:val="28"/>
          <w:szCs w:val="28"/>
          <w:lang w:val="en-US"/>
        </w:rPr>
        <w:t>Technoclone</w:t>
      </w:r>
      <w:r w:rsidR="00AD1E9E" w:rsidRPr="00BD14AA">
        <w:rPr>
          <w:rFonts w:ascii="Times New Roman" w:hAnsi="Times New Roman" w:cs="Times New Roman"/>
          <w:sz w:val="28"/>
          <w:szCs w:val="28"/>
        </w:rPr>
        <w:t>, Австрия)</w:t>
      </w:r>
      <w:r w:rsidR="00F45E4C" w:rsidRPr="00BD14AA">
        <w:rPr>
          <w:rFonts w:ascii="Times New Roman" w:hAnsi="Times New Roman" w:cs="Times New Roman"/>
          <w:sz w:val="28"/>
          <w:szCs w:val="28"/>
        </w:rPr>
        <w:t>, который</w:t>
      </w:r>
      <w:r w:rsidRPr="00BD14AA">
        <w:rPr>
          <w:rFonts w:ascii="Times New Roman" w:hAnsi="Times New Roman" w:cs="Times New Roman"/>
          <w:sz w:val="28"/>
          <w:szCs w:val="28"/>
        </w:rPr>
        <w:t xml:space="preserve"> имеет модуль для измерения ГТ флюорогенным способом. </w:t>
      </w:r>
      <w:r w:rsidR="004A2033" w:rsidRPr="00BD14AA">
        <w:rPr>
          <w:rFonts w:ascii="Times New Roman" w:hAnsi="Times New Roman" w:cs="Times New Roman"/>
          <w:sz w:val="28"/>
          <w:szCs w:val="28"/>
        </w:rPr>
        <w:t xml:space="preserve">Существенным преимуществом </w:t>
      </w:r>
      <w:r w:rsidR="00DD3DB1" w:rsidRPr="00BD14AA">
        <w:rPr>
          <w:rFonts w:ascii="Times New Roman" w:hAnsi="Times New Roman" w:cs="Times New Roman"/>
          <w:sz w:val="28"/>
          <w:szCs w:val="28"/>
        </w:rPr>
        <w:t xml:space="preserve">анализатора </w:t>
      </w:r>
      <w:r w:rsidR="00DD3DB1" w:rsidRPr="00BD14AA">
        <w:rPr>
          <w:rFonts w:ascii="Times New Roman" w:hAnsi="Times New Roman" w:cs="Times New Roman"/>
          <w:sz w:val="28"/>
          <w:szCs w:val="28"/>
          <w:lang w:val="en-US"/>
        </w:rPr>
        <w:t>Ceveron</w:t>
      </w:r>
      <w:r w:rsidR="00DD3DB1" w:rsidRPr="00BD14AA">
        <w:rPr>
          <w:rFonts w:ascii="Times New Roman" w:hAnsi="Times New Roman" w:cs="Times New Roman"/>
          <w:sz w:val="28"/>
          <w:szCs w:val="28"/>
        </w:rPr>
        <w:t xml:space="preserve"> является </w:t>
      </w:r>
      <w:r w:rsidRPr="00BD14AA">
        <w:rPr>
          <w:rFonts w:ascii="Times New Roman" w:hAnsi="Times New Roman" w:cs="Times New Roman"/>
          <w:sz w:val="28"/>
          <w:szCs w:val="28"/>
        </w:rPr>
        <w:t>наличие</w:t>
      </w:r>
      <w:r w:rsidR="00DD3DB1" w:rsidRPr="00BD14AA">
        <w:rPr>
          <w:rFonts w:ascii="Times New Roman" w:hAnsi="Times New Roman" w:cs="Times New Roman"/>
          <w:sz w:val="28"/>
          <w:szCs w:val="28"/>
        </w:rPr>
        <w:t xml:space="preserve"> </w:t>
      </w:r>
      <w:r w:rsidR="00F45E4C" w:rsidRPr="00BD14AA">
        <w:rPr>
          <w:rFonts w:ascii="Times New Roman" w:hAnsi="Times New Roman" w:cs="Times New Roman"/>
          <w:sz w:val="28"/>
          <w:szCs w:val="28"/>
        </w:rPr>
        <w:t xml:space="preserve">калибраторов и </w:t>
      </w:r>
      <w:r w:rsidR="00DD3DB1" w:rsidRPr="00BD14AA">
        <w:rPr>
          <w:rFonts w:ascii="Times New Roman" w:hAnsi="Times New Roman" w:cs="Times New Roman"/>
          <w:sz w:val="28"/>
          <w:szCs w:val="28"/>
        </w:rPr>
        <w:lastRenderedPageBreak/>
        <w:t>контрол</w:t>
      </w:r>
      <w:r w:rsidR="00F45E4C" w:rsidRPr="00BD14AA">
        <w:rPr>
          <w:rFonts w:ascii="Times New Roman" w:hAnsi="Times New Roman" w:cs="Times New Roman"/>
          <w:sz w:val="28"/>
          <w:szCs w:val="28"/>
        </w:rPr>
        <w:t>ьных материалов</w:t>
      </w:r>
      <w:r w:rsidR="00DD3DB1" w:rsidRPr="00BD14AA">
        <w:rPr>
          <w:rFonts w:ascii="Times New Roman" w:hAnsi="Times New Roman" w:cs="Times New Roman"/>
          <w:sz w:val="28"/>
          <w:szCs w:val="28"/>
        </w:rPr>
        <w:t xml:space="preserve"> с высокой и низкой активностями тромбинообразования</w:t>
      </w:r>
      <w:r w:rsidR="00223291" w:rsidRPr="00BD14AA">
        <w:rPr>
          <w:rFonts w:ascii="Times New Roman" w:hAnsi="Times New Roman" w:cs="Times New Roman"/>
          <w:sz w:val="28"/>
          <w:szCs w:val="28"/>
        </w:rPr>
        <w:t xml:space="preserve">, </w:t>
      </w:r>
      <w:r w:rsidR="002A1FA4" w:rsidRPr="00BD14AA">
        <w:rPr>
          <w:rFonts w:ascii="Times New Roman" w:hAnsi="Times New Roman" w:cs="Times New Roman"/>
          <w:sz w:val="28"/>
          <w:szCs w:val="28"/>
        </w:rPr>
        <w:t xml:space="preserve">а также </w:t>
      </w:r>
      <w:r w:rsidR="00C279C9" w:rsidRPr="00BD14AA">
        <w:rPr>
          <w:rFonts w:ascii="Times New Roman" w:hAnsi="Times New Roman" w:cs="Times New Roman"/>
          <w:sz w:val="28"/>
          <w:szCs w:val="28"/>
        </w:rPr>
        <w:t>определенные референт</w:t>
      </w:r>
      <w:r w:rsidR="00BD698B">
        <w:rPr>
          <w:rFonts w:ascii="Times New Roman" w:hAnsi="Times New Roman" w:cs="Times New Roman"/>
          <w:sz w:val="28"/>
          <w:szCs w:val="28"/>
        </w:rPr>
        <w:t>н</w:t>
      </w:r>
      <w:r w:rsidR="00C279C9" w:rsidRPr="00BD14AA">
        <w:rPr>
          <w:rFonts w:ascii="Times New Roman" w:hAnsi="Times New Roman" w:cs="Times New Roman"/>
          <w:sz w:val="28"/>
          <w:szCs w:val="28"/>
        </w:rPr>
        <w:t>ые интервалы</w:t>
      </w:r>
      <w:r w:rsidR="00223291" w:rsidRPr="00BD14AA">
        <w:rPr>
          <w:rFonts w:ascii="Times New Roman" w:hAnsi="Times New Roman" w:cs="Times New Roman"/>
          <w:sz w:val="28"/>
          <w:szCs w:val="28"/>
        </w:rPr>
        <w:t xml:space="preserve">, что позволяет применять его </w:t>
      </w:r>
      <w:r w:rsidR="00C279C9" w:rsidRPr="00BD14AA">
        <w:rPr>
          <w:rFonts w:ascii="Times New Roman" w:hAnsi="Times New Roman" w:cs="Times New Roman"/>
          <w:sz w:val="28"/>
          <w:szCs w:val="28"/>
        </w:rPr>
        <w:t xml:space="preserve">в </w:t>
      </w:r>
      <w:r w:rsidR="00223291" w:rsidRPr="00BD14AA">
        <w:rPr>
          <w:rFonts w:ascii="Times New Roman" w:hAnsi="Times New Roman" w:cs="Times New Roman"/>
          <w:sz w:val="28"/>
          <w:szCs w:val="28"/>
        </w:rPr>
        <w:t xml:space="preserve">клинической </w:t>
      </w:r>
      <w:r w:rsidR="002A1FA4" w:rsidRPr="00BD14AA">
        <w:rPr>
          <w:rFonts w:ascii="Times New Roman" w:hAnsi="Times New Roman" w:cs="Times New Roman"/>
          <w:sz w:val="28"/>
          <w:szCs w:val="28"/>
        </w:rPr>
        <w:t>практике</w:t>
      </w:r>
      <w:r w:rsidR="00F45E4C" w:rsidRPr="00BD14AA">
        <w:rPr>
          <w:rFonts w:ascii="Times New Roman" w:hAnsi="Times New Roman" w:cs="Times New Roman"/>
          <w:sz w:val="28"/>
          <w:szCs w:val="28"/>
        </w:rPr>
        <w:t>. Учитывая, что</w:t>
      </w:r>
      <w:r w:rsidR="00C279C9" w:rsidRPr="00BD14AA">
        <w:rPr>
          <w:rFonts w:ascii="Times New Roman" w:hAnsi="Times New Roman" w:cs="Times New Roman"/>
          <w:sz w:val="28"/>
          <w:szCs w:val="28"/>
        </w:rPr>
        <w:t xml:space="preserve"> многие лабораторные исследования системы гемостаза требуют </w:t>
      </w:r>
      <w:r w:rsidR="006F6CCC">
        <w:rPr>
          <w:rFonts w:ascii="Times New Roman" w:hAnsi="Times New Roman" w:cs="Times New Roman"/>
          <w:sz w:val="28"/>
          <w:szCs w:val="28"/>
        </w:rPr>
        <w:t xml:space="preserve">разработки </w:t>
      </w:r>
      <w:r w:rsidR="00C279C9" w:rsidRPr="00BD14AA">
        <w:rPr>
          <w:rFonts w:ascii="Times New Roman" w:hAnsi="Times New Roman" w:cs="Times New Roman"/>
          <w:sz w:val="28"/>
          <w:szCs w:val="28"/>
        </w:rPr>
        <w:t>собственных референтных значений</w:t>
      </w:r>
      <w:r w:rsidR="00F45E4C" w:rsidRPr="00BD14AA">
        <w:rPr>
          <w:rFonts w:ascii="Times New Roman" w:hAnsi="Times New Roman" w:cs="Times New Roman"/>
          <w:sz w:val="28"/>
          <w:szCs w:val="28"/>
        </w:rPr>
        <w:t xml:space="preserve"> для конкретной лаборатории</w:t>
      </w:r>
      <w:r w:rsidR="00C279C9" w:rsidRPr="00BD14AA">
        <w:rPr>
          <w:rFonts w:ascii="Times New Roman" w:hAnsi="Times New Roman" w:cs="Times New Roman"/>
          <w:sz w:val="28"/>
          <w:szCs w:val="28"/>
        </w:rPr>
        <w:t xml:space="preserve">, в том числе в </w:t>
      </w:r>
      <w:r w:rsidR="004E7D4C" w:rsidRPr="00BD14AA">
        <w:rPr>
          <w:rFonts w:ascii="Times New Roman" w:hAnsi="Times New Roman" w:cs="Times New Roman"/>
          <w:sz w:val="28"/>
          <w:szCs w:val="28"/>
        </w:rPr>
        <w:t>соответствии</w:t>
      </w:r>
      <w:r w:rsidR="00C279C9" w:rsidRPr="00BD14AA">
        <w:rPr>
          <w:rFonts w:ascii="Times New Roman" w:hAnsi="Times New Roman" w:cs="Times New Roman"/>
          <w:sz w:val="28"/>
          <w:szCs w:val="28"/>
        </w:rPr>
        <w:t xml:space="preserve"> с особенностями обследуемой популяции, заявленные производителем интервалы нуждаются в валидации.</w:t>
      </w:r>
      <w:r w:rsidR="00223291" w:rsidRPr="00BD14AA">
        <w:rPr>
          <w:rFonts w:ascii="Times New Roman" w:hAnsi="Times New Roman" w:cs="Times New Roman"/>
          <w:sz w:val="28"/>
          <w:szCs w:val="28"/>
        </w:rPr>
        <w:t xml:space="preserve"> Поэтому </w:t>
      </w:r>
      <w:r w:rsidR="007619F1" w:rsidRPr="00BD14AA">
        <w:rPr>
          <w:rFonts w:ascii="Times New Roman" w:hAnsi="Times New Roman" w:cs="Times New Roman"/>
          <w:b/>
          <w:sz w:val="28"/>
          <w:szCs w:val="28"/>
        </w:rPr>
        <w:t>ц</w:t>
      </w:r>
      <w:r w:rsidR="00AD1E9E" w:rsidRPr="00BD14AA">
        <w:rPr>
          <w:rFonts w:ascii="Times New Roman" w:hAnsi="Times New Roman" w:cs="Times New Roman"/>
          <w:b/>
          <w:sz w:val="28"/>
          <w:szCs w:val="28"/>
        </w:rPr>
        <w:t>ель</w:t>
      </w:r>
      <w:r w:rsidR="007619F1" w:rsidRPr="00BD14AA">
        <w:rPr>
          <w:rFonts w:ascii="Times New Roman" w:hAnsi="Times New Roman" w:cs="Times New Roman"/>
          <w:b/>
          <w:sz w:val="28"/>
          <w:szCs w:val="28"/>
        </w:rPr>
        <w:t xml:space="preserve">ю работы </w:t>
      </w:r>
      <w:r w:rsidR="00F45E4C" w:rsidRPr="00BD14AA">
        <w:rPr>
          <w:rFonts w:ascii="Times New Roman" w:hAnsi="Times New Roman" w:cs="Times New Roman"/>
          <w:b/>
          <w:sz w:val="28"/>
          <w:szCs w:val="28"/>
        </w:rPr>
        <w:t>явилось</w:t>
      </w:r>
      <w:r w:rsidR="00B50776" w:rsidRPr="00BD14AA">
        <w:rPr>
          <w:rFonts w:ascii="Times New Roman" w:hAnsi="Times New Roman" w:cs="Times New Roman"/>
          <w:b/>
          <w:sz w:val="28"/>
          <w:szCs w:val="28"/>
        </w:rPr>
        <w:t xml:space="preserve"> </w:t>
      </w:r>
      <w:r w:rsidR="00223291" w:rsidRPr="00BD14AA">
        <w:rPr>
          <w:rFonts w:ascii="Times New Roman" w:hAnsi="Times New Roman" w:cs="Times New Roman"/>
          <w:sz w:val="28"/>
          <w:szCs w:val="28"/>
        </w:rPr>
        <w:t>определ</w:t>
      </w:r>
      <w:r w:rsidR="00F45E4C" w:rsidRPr="00BD14AA">
        <w:rPr>
          <w:rFonts w:ascii="Times New Roman" w:hAnsi="Times New Roman" w:cs="Times New Roman"/>
          <w:sz w:val="28"/>
          <w:szCs w:val="28"/>
        </w:rPr>
        <w:t>ение</w:t>
      </w:r>
      <w:r w:rsidR="00B50776" w:rsidRPr="00BD14AA">
        <w:rPr>
          <w:rFonts w:ascii="Times New Roman" w:hAnsi="Times New Roman" w:cs="Times New Roman"/>
          <w:sz w:val="28"/>
          <w:szCs w:val="28"/>
        </w:rPr>
        <w:t xml:space="preserve"> референтны</w:t>
      </w:r>
      <w:r w:rsidR="00F45E4C" w:rsidRPr="00BD14AA">
        <w:rPr>
          <w:rFonts w:ascii="Times New Roman" w:hAnsi="Times New Roman" w:cs="Times New Roman"/>
          <w:sz w:val="28"/>
          <w:szCs w:val="28"/>
        </w:rPr>
        <w:t>х</w:t>
      </w:r>
      <w:r w:rsidR="00B50776" w:rsidRPr="00BD14AA">
        <w:rPr>
          <w:rFonts w:ascii="Times New Roman" w:hAnsi="Times New Roman" w:cs="Times New Roman"/>
          <w:sz w:val="28"/>
          <w:szCs w:val="28"/>
        </w:rPr>
        <w:t xml:space="preserve"> интервал</w:t>
      </w:r>
      <w:r w:rsidR="00F45E4C" w:rsidRPr="00BD14AA">
        <w:rPr>
          <w:rFonts w:ascii="Times New Roman" w:hAnsi="Times New Roman" w:cs="Times New Roman"/>
          <w:sz w:val="28"/>
          <w:szCs w:val="28"/>
        </w:rPr>
        <w:t>ов</w:t>
      </w:r>
      <w:r w:rsidR="00223291" w:rsidRPr="00BD14AA">
        <w:rPr>
          <w:rFonts w:ascii="Times New Roman" w:hAnsi="Times New Roman" w:cs="Times New Roman"/>
          <w:sz w:val="28"/>
          <w:szCs w:val="28"/>
        </w:rPr>
        <w:t xml:space="preserve"> внутри</w:t>
      </w:r>
      <w:r w:rsidR="00427C1E" w:rsidRPr="00BD14AA">
        <w:rPr>
          <w:rFonts w:ascii="Times New Roman" w:hAnsi="Times New Roman" w:cs="Times New Roman"/>
          <w:sz w:val="28"/>
          <w:szCs w:val="28"/>
        </w:rPr>
        <w:t xml:space="preserve"> </w:t>
      </w:r>
      <w:r w:rsidR="00223291" w:rsidRPr="00BD14AA">
        <w:rPr>
          <w:rFonts w:ascii="Times New Roman" w:hAnsi="Times New Roman" w:cs="Times New Roman"/>
          <w:sz w:val="28"/>
          <w:szCs w:val="28"/>
        </w:rPr>
        <w:t>лаборатории</w:t>
      </w:r>
      <w:r w:rsidR="00B50776" w:rsidRPr="00BD14AA">
        <w:rPr>
          <w:rFonts w:ascii="Times New Roman" w:hAnsi="Times New Roman" w:cs="Times New Roman"/>
          <w:sz w:val="28"/>
          <w:szCs w:val="28"/>
        </w:rPr>
        <w:t xml:space="preserve"> и </w:t>
      </w:r>
      <w:r w:rsidR="00223291" w:rsidRPr="00BD14AA">
        <w:rPr>
          <w:rFonts w:ascii="Times New Roman" w:hAnsi="Times New Roman" w:cs="Times New Roman"/>
          <w:sz w:val="28"/>
          <w:szCs w:val="28"/>
        </w:rPr>
        <w:t>оцен</w:t>
      </w:r>
      <w:r w:rsidR="00F45E4C" w:rsidRPr="00BD14AA">
        <w:rPr>
          <w:rFonts w:ascii="Times New Roman" w:hAnsi="Times New Roman" w:cs="Times New Roman"/>
          <w:sz w:val="28"/>
          <w:szCs w:val="28"/>
        </w:rPr>
        <w:t>ка</w:t>
      </w:r>
      <w:r w:rsidR="00223291" w:rsidRPr="00BD14AA">
        <w:rPr>
          <w:rFonts w:ascii="Times New Roman" w:hAnsi="Times New Roman" w:cs="Times New Roman"/>
          <w:sz w:val="28"/>
          <w:szCs w:val="28"/>
        </w:rPr>
        <w:t xml:space="preserve"> межиндивиду</w:t>
      </w:r>
      <w:r w:rsidR="002A1FA4" w:rsidRPr="00BD14AA">
        <w:rPr>
          <w:rFonts w:ascii="Times New Roman" w:hAnsi="Times New Roman" w:cs="Times New Roman"/>
          <w:sz w:val="28"/>
          <w:szCs w:val="28"/>
        </w:rPr>
        <w:t>а</w:t>
      </w:r>
      <w:r w:rsidR="00223291" w:rsidRPr="00BD14AA">
        <w:rPr>
          <w:rFonts w:ascii="Times New Roman" w:hAnsi="Times New Roman" w:cs="Times New Roman"/>
          <w:sz w:val="28"/>
          <w:szCs w:val="28"/>
        </w:rPr>
        <w:t>льн</w:t>
      </w:r>
      <w:r w:rsidR="00F45E4C" w:rsidRPr="00BD14AA">
        <w:rPr>
          <w:rFonts w:ascii="Times New Roman" w:hAnsi="Times New Roman" w:cs="Times New Roman"/>
          <w:sz w:val="28"/>
          <w:szCs w:val="28"/>
        </w:rPr>
        <w:t>ой</w:t>
      </w:r>
      <w:r w:rsidR="00223291" w:rsidRPr="00BD14AA">
        <w:rPr>
          <w:rFonts w:ascii="Times New Roman" w:hAnsi="Times New Roman" w:cs="Times New Roman"/>
          <w:sz w:val="28"/>
          <w:szCs w:val="28"/>
        </w:rPr>
        <w:t xml:space="preserve"> вариаци</w:t>
      </w:r>
      <w:r w:rsidR="00F45E4C" w:rsidRPr="00BD14AA">
        <w:rPr>
          <w:rFonts w:ascii="Times New Roman" w:hAnsi="Times New Roman" w:cs="Times New Roman"/>
          <w:sz w:val="28"/>
          <w:szCs w:val="28"/>
        </w:rPr>
        <w:t>и</w:t>
      </w:r>
      <w:r w:rsidR="00223291" w:rsidRPr="00BD14AA">
        <w:rPr>
          <w:rFonts w:ascii="Times New Roman" w:hAnsi="Times New Roman" w:cs="Times New Roman"/>
          <w:sz w:val="28"/>
          <w:szCs w:val="28"/>
        </w:rPr>
        <w:t xml:space="preserve"> показателей ТГТ в различных технологиях выполнения</w:t>
      </w:r>
      <w:r w:rsidR="004E7D4C" w:rsidRPr="00BD14AA">
        <w:rPr>
          <w:rFonts w:ascii="Times New Roman" w:hAnsi="Times New Roman" w:cs="Times New Roman"/>
          <w:sz w:val="28"/>
          <w:szCs w:val="28"/>
        </w:rPr>
        <w:t>.</w:t>
      </w:r>
      <w:r w:rsidR="00223291" w:rsidRPr="00427C1E">
        <w:rPr>
          <w:rFonts w:ascii="Times New Roman" w:hAnsi="Times New Roman" w:cs="Times New Roman"/>
          <w:sz w:val="28"/>
          <w:szCs w:val="28"/>
        </w:rPr>
        <w:t xml:space="preserve"> </w:t>
      </w:r>
    </w:p>
    <w:p w14:paraId="780CBDC9" w14:textId="6DD12BC0" w:rsidR="00FC7A18" w:rsidRPr="00427C1E" w:rsidRDefault="007320B1" w:rsidP="0040071C">
      <w:pPr>
        <w:spacing w:line="480" w:lineRule="auto"/>
        <w:ind w:firstLine="709"/>
        <w:contextualSpacing/>
        <w:rPr>
          <w:rFonts w:ascii="Times New Roman" w:hAnsi="Times New Roman" w:cs="Times New Roman"/>
          <w:b/>
          <w:sz w:val="28"/>
          <w:szCs w:val="28"/>
        </w:rPr>
      </w:pPr>
      <w:r>
        <w:rPr>
          <w:rFonts w:ascii="Times New Roman" w:hAnsi="Times New Roman" w:cs="Times New Roman"/>
          <w:b/>
          <w:sz w:val="28"/>
          <w:szCs w:val="28"/>
        </w:rPr>
        <w:t>Материалы и методы</w:t>
      </w:r>
    </w:p>
    <w:p w14:paraId="1BD9C7DA" w14:textId="40A4B33F" w:rsidR="00894699" w:rsidRPr="00427C1E" w:rsidRDefault="00FC7A18" w:rsidP="0040071C">
      <w:pPr>
        <w:spacing w:after="0" w:line="480" w:lineRule="auto"/>
        <w:ind w:firstLine="709"/>
        <w:contextualSpacing/>
        <w:jc w:val="both"/>
        <w:rPr>
          <w:rFonts w:ascii="Times New Roman" w:hAnsi="Times New Roman" w:cs="Times New Roman"/>
          <w:sz w:val="28"/>
          <w:szCs w:val="28"/>
        </w:rPr>
      </w:pPr>
      <w:r w:rsidRPr="00427C1E">
        <w:rPr>
          <w:rFonts w:ascii="Times New Roman" w:hAnsi="Times New Roman" w:cs="Times New Roman"/>
          <w:sz w:val="28"/>
          <w:szCs w:val="28"/>
        </w:rPr>
        <w:t xml:space="preserve">В исследование вошли 20 доноров </w:t>
      </w:r>
      <w:r w:rsidR="004C1635" w:rsidRPr="00427C1E">
        <w:rPr>
          <w:rFonts w:ascii="Times New Roman" w:hAnsi="Times New Roman" w:cs="Times New Roman"/>
          <w:sz w:val="28"/>
          <w:szCs w:val="28"/>
        </w:rPr>
        <w:t>(46,13 [38,75-54,50] лет</w:t>
      </w:r>
      <w:r w:rsidR="003812CD" w:rsidRPr="00427C1E">
        <w:rPr>
          <w:rFonts w:ascii="Times New Roman" w:hAnsi="Times New Roman" w:cs="Times New Roman"/>
          <w:sz w:val="28"/>
          <w:szCs w:val="28"/>
        </w:rPr>
        <w:t>, 1</w:t>
      </w:r>
      <w:r w:rsidR="00223291" w:rsidRPr="00427C1E">
        <w:rPr>
          <w:rFonts w:ascii="Times New Roman" w:hAnsi="Times New Roman" w:cs="Times New Roman"/>
          <w:sz w:val="28"/>
          <w:szCs w:val="28"/>
        </w:rPr>
        <w:t>1</w:t>
      </w:r>
      <w:r w:rsidR="003812CD" w:rsidRPr="00427C1E">
        <w:rPr>
          <w:rFonts w:ascii="Times New Roman" w:hAnsi="Times New Roman" w:cs="Times New Roman"/>
          <w:sz w:val="28"/>
          <w:szCs w:val="28"/>
        </w:rPr>
        <w:t xml:space="preserve"> мужчин, </w:t>
      </w:r>
      <w:r w:rsidR="00223291" w:rsidRPr="00427C1E">
        <w:rPr>
          <w:rFonts w:ascii="Times New Roman" w:hAnsi="Times New Roman" w:cs="Times New Roman"/>
          <w:sz w:val="28"/>
          <w:szCs w:val="28"/>
        </w:rPr>
        <w:t>9</w:t>
      </w:r>
      <w:r w:rsidR="003812CD" w:rsidRPr="00427C1E">
        <w:rPr>
          <w:rFonts w:ascii="Times New Roman" w:hAnsi="Times New Roman" w:cs="Times New Roman"/>
          <w:sz w:val="28"/>
          <w:szCs w:val="28"/>
        </w:rPr>
        <w:t xml:space="preserve"> женщин</w:t>
      </w:r>
      <w:r w:rsidR="004C1635" w:rsidRPr="00427C1E">
        <w:rPr>
          <w:rFonts w:ascii="Times New Roman" w:hAnsi="Times New Roman" w:cs="Times New Roman"/>
          <w:sz w:val="28"/>
          <w:szCs w:val="28"/>
        </w:rPr>
        <w:t xml:space="preserve">) </w:t>
      </w:r>
      <w:r w:rsidRPr="00427C1E">
        <w:rPr>
          <w:rFonts w:ascii="Times New Roman" w:hAnsi="Times New Roman" w:cs="Times New Roman"/>
          <w:sz w:val="28"/>
          <w:szCs w:val="28"/>
        </w:rPr>
        <w:t xml:space="preserve">без сердечно-сосудистых заболеваний и тромбоэмболических эпизодов в анамнезе, не принимающие препараты, влияющие на функцию системы гемостаза. Образцы крови получали в вакуумные пробирки с 3,2% цитратом натрия в качестве антикоагулянта </w:t>
      </w:r>
      <w:r w:rsidR="006E796A">
        <w:rPr>
          <w:rFonts w:ascii="Times New Roman" w:hAnsi="Times New Roman" w:cs="Times New Roman"/>
          <w:sz w:val="28"/>
          <w:szCs w:val="28"/>
        </w:rPr>
        <w:t>путем пункции кубитальной вены.</w:t>
      </w:r>
    </w:p>
    <w:p w14:paraId="0CD4A52E" w14:textId="538057AF" w:rsidR="00091ABF" w:rsidRPr="00427C1E" w:rsidRDefault="00BF6C38" w:rsidP="0040071C">
      <w:pPr>
        <w:spacing w:after="0" w:line="48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получения РРР м</w:t>
      </w:r>
      <w:r w:rsidR="00894699" w:rsidRPr="00427C1E">
        <w:rPr>
          <w:rFonts w:ascii="Times New Roman" w:hAnsi="Times New Roman" w:cs="Times New Roman"/>
          <w:sz w:val="28"/>
          <w:szCs w:val="28"/>
        </w:rPr>
        <w:t>атериал</w:t>
      </w:r>
      <w:r w:rsidR="00FC7A18" w:rsidRPr="00427C1E">
        <w:rPr>
          <w:rFonts w:ascii="Times New Roman" w:hAnsi="Times New Roman" w:cs="Times New Roman"/>
          <w:sz w:val="28"/>
          <w:szCs w:val="28"/>
        </w:rPr>
        <w:t xml:space="preserve"> центрифугировали при 2000×</w:t>
      </w:r>
      <w:r w:rsidR="00FC7A18" w:rsidRPr="00427C1E">
        <w:rPr>
          <w:rFonts w:ascii="Times New Roman" w:hAnsi="Times New Roman" w:cs="Times New Roman"/>
          <w:sz w:val="28"/>
          <w:szCs w:val="28"/>
          <w:lang w:val="en-US"/>
        </w:rPr>
        <w:t>g</w:t>
      </w:r>
      <w:r w:rsidR="00FC7A18" w:rsidRPr="00427C1E">
        <w:rPr>
          <w:rFonts w:ascii="Times New Roman" w:hAnsi="Times New Roman" w:cs="Times New Roman"/>
          <w:sz w:val="28"/>
          <w:szCs w:val="28"/>
        </w:rPr>
        <w:t xml:space="preserve"> 18°С в течение 10 мин с последующим центрифугированием полученного супернатанта при 10000×</w:t>
      </w:r>
      <w:r w:rsidR="00FC7A18" w:rsidRPr="00427C1E">
        <w:rPr>
          <w:rFonts w:ascii="Times New Roman" w:hAnsi="Times New Roman" w:cs="Times New Roman"/>
          <w:sz w:val="28"/>
          <w:szCs w:val="28"/>
          <w:lang w:val="en-US"/>
        </w:rPr>
        <w:t>g</w:t>
      </w:r>
      <w:r w:rsidR="00FC7A18" w:rsidRPr="00427C1E">
        <w:rPr>
          <w:rFonts w:ascii="Times New Roman" w:hAnsi="Times New Roman" w:cs="Times New Roman"/>
          <w:sz w:val="28"/>
          <w:szCs w:val="28"/>
        </w:rPr>
        <w:t xml:space="preserve"> в течение 10 мин</w:t>
      </w:r>
      <w:r w:rsidR="00A15614">
        <w:rPr>
          <w:rFonts w:ascii="Times New Roman" w:hAnsi="Times New Roman" w:cs="Times New Roman"/>
          <w:sz w:val="28"/>
          <w:szCs w:val="28"/>
        </w:rPr>
        <w:t xml:space="preserve"> </w:t>
      </w:r>
      <w:r w:rsidR="00310599" w:rsidRPr="00310599">
        <w:rPr>
          <w:rFonts w:ascii="Times New Roman" w:hAnsi="Times New Roman" w:cs="Times New Roman"/>
          <w:sz w:val="28"/>
          <w:szCs w:val="28"/>
        </w:rPr>
        <w:t>[</w:t>
      </w:r>
      <w:r w:rsidR="00A15614">
        <w:rPr>
          <w:rFonts w:ascii="Times New Roman" w:hAnsi="Times New Roman" w:cs="Times New Roman"/>
          <w:sz w:val="28"/>
          <w:szCs w:val="28"/>
        </w:rPr>
        <w:fldChar w:fldCharType="begin"/>
      </w:r>
      <w:r w:rsidR="008579BC">
        <w:rPr>
          <w:rFonts w:ascii="Times New Roman" w:hAnsi="Times New Roman" w:cs="Times New Roman"/>
          <w:sz w:val="28"/>
          <w:szCs w:val="28"/>
        </w:rPr>
        <w:instrText xml:space="preserve"> ADDIN ZOTERO_ITEM CSL_CITATION {"citationID":"qta0bVmn","properties":{"formattedCitation":"(4)","plainCitation":"(4)","noteIndex":0},"citationItems":[{"id":"MkePDU5i/RYM3wgxC","uris":["http://zotero.org/users/4535407/items/PC3AHG55"],"itemData":{"id":680,"type":"article-journal","abstract":"BACKGROUND: Thrombin generation assays are sensitive methods for assessment of the overall clotting potential of plasma, but, despite their common use in thrombosis research, standardization of preanalytic conditions is lacking. In order to set up a standardized protocol, we analyzed different preanalytic variables and validated the calibrated automated thrombogram method.\nMETHODS AND RESULTS: Thrombin generation was assessed with 0, 1 and 5 pm tissue factor (TF). Variations in thrombin generation were mostly attributable to the type of collection tube, mainly because of variations in contact activation. The collection tube also determined the influence of other preanalytic variables on thrombin generation, e.g. the need for a discard tube, the storage of whole blood, and the centrifugation method. Regarding the collection system, blood drawn through intravenous catheters or butterfly needles showed significantly more hemolysis than blood obtained with venipuncture using conventional needles. The results showed that a discard tube is still needed for thrombin generation measurements. After blood collection, whole blood is best centrifuged immediately, to prevent activation or degradation of coagulation proteins, and a second centrifugation step at 10,000 × g is recommended. After thawing, plasma is best analyzed immediately, as storage resulted in thrombin generation results outside the 10% range of the reference sample. On the basis of these results, we set up an in-house standardized protocol, which was used for validation, resulting in coefficients of variations of &lt; 15% for all derived parameters with both the 1 and 5 pm TF triggers.\nCONCLUSION: Thrombin generation was greatly influenced by preanalytic conditions, demonstrating the need for an international standardized protocol.","container-title":"Journal of thrombosis and haemostasis: JTH","DOI":"10.1111/jth.12012","ISSN":"1538-7836","issue":"12","journalAbbreviation":"J Thromb Haemost","language":"eng","note":"PMID: 23020632","page":"2544-2554","source":"PubMed","title":"Preanalytic variables of thrombin generation: towards a standard procedure and validation of the method","title-short":"Preanalytic variables of thrombin generation","volume":"10","author":[{"family":"Loeffen","given":"R."},{"family":"Kleinegris","given":"M.-C. F."},{"family":"Loubele","given":"S. T. B. G."},{"family":"Pluijmen","given":"P. H. M."},{"family":"Fens","given":"D."},{"family":"Oerle","given":"R.","non-dropping-particle":"van"},{"family":"Cate","given":"H.","non-dropping-particle":"ten"},{"family":"Spronk","given":"H. M. H."}],"issued":{"date-parts":[["2012",12]]}}}],"schema":"https://github.com/citation-style-language/schema/raw/master/csl-citation.json"} </w:instrText>
      </w:r>
      <w:r w:rsidR="00A15614">
        <w:rPr>
          <w:rFonts w:ascii="Times New Roman" w:hAnsi="Times New Roman" w:cs="Times New Roman"/>
          <w:sz w:val="28"/>
          <w:szCs w:val="28"/>
        </w:rPr>
        <w:fldChar w:fldCharType="separate"/>
      </w:r>
      <w:r w:rsidR="00A15614" w:rsidRPr="00A15614">
        <w:rPr>
          <w:rFonts w:ascii="Times New Roman" w:hAnsi="Times New Roman" w:cs="Times New Roman"/>
          <w:sz w:val="28"/>
        </w:rPr>
        <w:t>4</w:t>
      </w:r>
      <w:r w:rsidR="00310599" w:rsidRPr="00310599">
        <w:rPr>
          <w:rFonts w:ascii="Times New Roman" w:hAnsi="Times New Roman" w:cs="Times New Roman"/>
          <w:sz w:val="28"/>
        </w:rPr>
        <w:t>]</w:t>
      </w:r>
      <w:r w:rsidR="00A15614">
        <w:rPr>
          <w:rFonts w:ascii="Times New Roman" w:hAnsi="Times New Roman" w:cs="Times New Roman"/>
          <w:sz w:val="28"/>
          <w:szCs w:val="28"/>
        </w:rPr>
        <w:fldChar w:fldCharType="end"/>
      </w:r>
      <w:r w:rsidR="00310599" w:rsidRPr="00310599">
        <w:rPr>
          <w:rFonts w:ascii="Times New Roman" w:hAnsi="Times New Roman" w:cs="Times New Roman"/>
          <w:sz w:val="28"/>
          <w:szCs w:val="28"/>
        </w:rPr>
        <w:t>.</w:t>
      </w:r>
      <w:r w:rsidR="00FC7A18" w:rsidRPr="00427C1E">
        <w:rPr>
          <w:rFonts w:ascii="Times New Roman" w:hAnsi="Times New Roman" w:cs="Times New Roman"/>
          <w:sz w:val="28"/>
          <w:szCs w:val="28"/>
        </w:rPr>
        <w:t xml:space="preserve"> </w:t>
      </w:r>
      <w:r w:rsidR="00567478" w:rsidRPr="00427C1E">
        <w:rPr>
          <w:rFonts w:ascii="Times New Roman" w:hAnsi="Times New Roman" w:cs="Times New Roman"/>
          <w:sz w:val="28"/>
          <w:szCs w:val="28"/>
        </w:rPr>
        <w:t xml:space="preserve">Аликвоты хранили при температуре -80°С. Перед постановкой пробы размораживались </w:t>
      </w:r>
      <w:r w:rsidR="002D07CC" w:rsidRPr="002D07CC">
        <w:rPr>
          <w:rFonts w:ascii="Times New Roman" w:hAnsi="Times New Roman" w:cs="Times New Roman"/>
          <w:sz w:val="28"/>
          <w:szCs w:val="28"/>
          <w:highlight w:val="yellow"/>
        </w:rPr>
        <w:t>на водяной бане</w:t>
      </w:r>
      <w:r w:rsidR="002D07CC">
        <w:rPr>
          <w:rFonts w:ascii="Times New Roman" w:hAnsi="Times New Roman" w:cs="Times New Roman"/>
          <w:sz w:val="28"/>
          <w:szCs w:val="28"/>
        </w:rPr>
        <w:t xml:space="preserve"> </w:t>
      </w:r>
      <w:r w:rsidR="00567478" w:rsidRPr="00427C1E">
        <w:rPr>
          <w:rFonts w:ascii="Times New Roman" w:hAnsi="Times New Roman" w:cs="Times New Roman"/>
          <w:sz w:val="28"/>
          <w:szCs w:val="28"/>
        </w:rPr>
        <w:t xml:space="preserve">при 37°С. </w:t>
      </w:r>
    </w:p>
    <w:p w14:paraId="54D184EA" w14:textId="3408F3D3" w:rsidR="00091ABF" w:rsidRPr="00427C1E" w:rsidRDefault="004E7D4C" w:rsidP="0040071C">
      <w:pPr>
        <w:spacing w:after="0" w:line="48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Технология 1: </w:t>
      </w:r>
      <w:r w:rsidR="00223291" w:rsidRPr="00427C1E">
        <w:rPr>
          <w:rFonts w:ascii="Times New Roman" w:hAnsi="Times New Roman" w:cs="Times New Roman"/>
          <w:sz w:val="28"/>
          <w:szCs w:val="28"/>
        </w:rPr>
        <w:t>ТГТ</w:t>
      </w:r>
      <w:r w:rsidR="00567478" w:rsidRPr="00427C1E">
        <w:rPr>
          <w:rFonts w:ascii="Times New Roman" w:hAnsi="Times New Roman" w:cs="Times New Roman"/>
          <w:sz w:val="28"/>
          <w:szCs w:val="28"/>
        </w:rPr>
        <w:t xml:space="preserve"> проводился по методу калибров</w:t>
      </w:r>
      <w:r w:rsidR="00BF6C38">
        <w:rPr>
          <w:rFonts w:ascii="Times New Roman" w:hAnsi="Times New Roman" w:cs="Times New Roman"/>
          <w:sz w:val="28"/>
          <w:szCs w:val="28"/>
        </w:rPr>
        <w:t>анной</w:t>
      </w:r>
      <w:r w:rsidR="00567478" w:rsidRPr="00427C1E">
        <w:rPr>
          <w:rFonts w:ascii="Times New Roman" w:hAnsi="Times New Roman" w:cs="Times New Roman"/>
          <w:sz w:val="28"/>
          <w:szCs w:val="28"/>
        </w:rPr>
        <w:t xml:space="preserve"> автоматизированной тромбограммы, предложенному </w:t>
      </w:r>
      <w:r w:rsidR="006E796A">
        <w:rPr>
          <w:rFonts w:ascii="Times New Roman" w:hAnsi="Times New Roman" w:cs="Times New Roman"/>
          <w:sz w:val="28"/>
          <w:szCs w:val="28"/>
        </w:rPr>
        <w:t xml:space="preserve">Н. </w:t>
      </w:r>
      <w:r w:rsidR="00567478" w:rsidRPr="00427C1E">
        <w:rPr>
          <w:rFonts w:ascii="Times New Roman" w:hAnsi="Times New Roman" w:cs="Times New Roman"/>
          <w:sz w:val="28"/>
          <w:szCs w:val="28"/>
        </w:rPr>
        <w:t xml:space="preserve">Hemker </w:t>
      </w:r>
      <w:r w:rsidR="002A1FA4">
        <w:rPr>
          <w:rFonts w:ascii="Times New Roman" w:hAnsi="Times New Roman" w:cs="Times New Roman"/>
          <w:sz w:val="28"/>
          <w:szCs w:val="28"/>
        </w:rPr>
        <w:t>с соавт</w:t>
      </w:r>
      <w:r w:rsidR="00D813C8">
        <w:rPr>
          <w:rFonts w:ascii="Times New Roman" w:hAnsi="Times New Roman" w:cs="Times New Roman"/>
          <w:sz w:val="28"/>
          <w:szCs w:val="28"/>
        </w:rPr>
        <w:t>орами</w:t>
      </w:r>
      <w:r w:rsidR="00567478" w:rsidRPr="00427C1E">
        <w:rPr>
          <w:rFonts w:ascii="Times New Roman" w:hAnsi="Times New Roman" w:cs="Times New Roman"/>
          <w:sz w:val="28"/>
          <w:szCs w:val="28"/>
        </w:rPr>
        <w:t xml:space="preserve"> </w:t>
      </w:r>
      <w:r w:rsidR="00567478" w:rsidRPr="00427C1E">
        <w:rPr>
          <w:rFonts w:ascii="Times New Roman" w:hAnsi="Times New Roman" w:cs="Times New Roman"/>
          <w:iCs/>
          <w:sz w:val="28"/>
          <w:szCs w:val="28"/>
        </w:rPr>
        <w:t>[</w:t>
      </w:r>
      <w:r w:rsidR="003812CD" w:rsidRPr="00427C1E">
        <w:rPr>
          <w:rFonts w:ascii="Times New Roman" w:hAnsi="Times New Roman" w:cs="Times New Roman"/>
          <w:iCs/>
          <w:sz w:val="28"/>
          <w:szCs w:val="28"/>
          <w:lang w:val="en-US"/>
        </w:rPr>
        <w:fldChar w:fldCharType="begin"/>
      </w:r>
      <w:r w:rsidR="008579BC">
        <w:rPr>
          <w:rFonts w:ascii="Times New Roman" w:hAnsi="Times New Roman" w:cs="Times New Roman"/>
          <w:iCs/>
          <w:sz w:val="28"/>
          <w:szCs w:val="28"/>
        </w:rPr>
        <w:instrText xml:space="preserve"> ADDIN ZOTERO_ITEM CSL_CITATION {"citationID":"MGIvbBoR","properties":{"formattedCitation":"(2)","plainCitation":"(2)","noteIndex":0},"citationItems":[{"id":90,"uris":["http://zotero.org/users/local/yCd0M2za/items/ZY8TBEEH"],"itemData":{"id":90,"type":"article-journal","container-title":"Pathophysiology of Haemostasis and Thrombosis","DOI":"10.1159/000073575","ISSN":"1424-8832, 1424-8840","issue":"5-6","journalAbbreviation":"Pathophysiol Haemos Thromb","language":"en","page":"249-253","source":"DOI.org (Crossref)","title":"The Calibrated Automated Thrombogram (CAT): a universal routine test for hyper- and hypocoagulability","title-short":"The Calibrated Automated Thrombogram (CAT)","volume":"32","author":[{"family":"Hemker","given":"H.C."},{"family":"Giesen","given":"P."},{"family":"AlDieri","given":"R."},{"family":"Regnault","given":"V."},{"family":"Smed","given":"E.","non-dropping-particle":"de"},{"family":"Wagenvoord","given":"R."},{"family":"Lecompte","given":"T."},{"family":"Béguin","given":"S."}],"issued":{"date-parts":[["2002"]]}}}],"schema":"https://github.com/citation-style-language/schema/raw/master/csl-citation.json"} </w:instrText>
      </w:r>
      <w:r w:rsidR="003812CD" w:rsidRPr="00427C1E">
        <w:rPr>
          <w:rFonts w:ascii="Times New Roman" w:hAnsi="Times New Roman" w:cs="Times New Roman"/>
          <w:iCs/>
          <w:sz w:val="28"/>
          <w:szCs w:val="28"/>
          <w:lang w:val="en-US"/>
        </w:rPr>
        <w:fldChar w:fldCharType="separate"/>
      </w:r>
      <w:r w:rsidR="00DC7512" w:rsidRPr="00427C1E">
        <w:rPr>
          <w:rFonts w:ascii="Times New Roman" w:hAnsi="Times New Roman" w:cs="Times New Roman"/>
          <w:sz w:val="28"/>
          <w:szCs w:val="28"/>
        </w:rPr>
        <w:t>2</w:t>
      </w:r>
      <w:r w:rsidR="003812CD" w:rsidRPr="00427C1E">
        <w:rPr>
          <w:rFonts w:ascii="Times New Roman" w:hAnsi="Times New Roman" w:cs="Times New Roman"/>
          <w:iCs/>
          <w:sz w:val="28"/>
          <w:szCs w:val="28"/>
          <w:lang w:val="en-US"/>
        </w:rPr>
        <w:fldChar w:fldCharType="end"/>
      </w:r>
      <w:r w:rsidR="00567478" w:rsidRPr="00427C1E">
        <w:rPr>
          <w:rFonts w:ascii="Times New Roman" w:hAnsi="Times New Roman" w:cs="Times New Roman"/>
          <w:iCs/>
          <w:sz w:val="28"/>
          <w:szCs w:val="28"/>
        </w:rPr>
        <w:t>]</w:t>
      </w:r>
      <w:r>
        <w:rPr>
          <w:rFonts w:ascii="Times New Roman" w:hAnsi="Times New Roman" w:cs="Times New Roman"/>
          <w:iCs/>
          <w:sz w:val="28"/>
          <w:szCs w:val="28"/>
        </w:rPr>
        <w:t xml:space="preserve"> </w:t>
      </w:r>
      <w:r>
        <w:rPr>
          <w:rFonts w:ascii="Times New Roman" w:hAnsi="Times New Roman" w:cs="Times New Roman"/>
          <w:iCs/>
          <w:sz w:val="28"/>
          <w:szCs w:val="28"/>
        </w:rPr>
        <w:lastRenderedPageBreak/>
        <w:t xml:space="preserve">на приборе </w:t>
      </w:r>
      <w:r w:rsidR="00BF6C38">
        <w:rPr>
          <w:rFonts w:ascii="Times New Roman" w:hAnsi="Times New Roman" w:cs="Times New Roman"/>
          <w:iCs/>
          <w:sz w:val="28"/>
          <w:szCs w:val="28"/>
          <w:lang w:val="en-US"/>
        </w:rPr>
        <w:t>Fluoroscan</w:t>
      </w:r>
      <w:r w:rsidR="00BF6C38" w:rsidRPr="00BF6C38">
        <w:rPr>
          <w:rFonts w:ascii="Times New Roman" w:hAnsi="Times New Roman" w:cs="Times New Roman"/>
          <w:iCs/>
          <w:sz w:val="28"/>
          <w:szCs w:val="28"/>
        </w:rPr>
        <w:t xml:space="preserve"> </w:t>
      </w:r>
      <w:r w:rsidR="00BF6C38">
        <w:rPr>
          <w:rFonts w:ascii="Times New Roman" w:hAnsi="Times New Roman" w:cs="Times New Roman"/>
          <w:iCs/>
          <w:sz w:val="28"/>
          <w:szCs w:val="28"/>
          <w:lang w:val="en-US"/>
        </w:rPr>
        <w:t>Ascent</w:t>
      </w:r>
      <w:r w:rsidR="006E796A">
        <w:rPr>
          <w:rFonts w:ascii="Times New Roman" w:hAnsi="Times New Roman" w:cs="Times New Roman"/>
          <w:iCs/>
          <w:sz w:val="28"/>
          <w:szCs w:val="28"/>
        </w:rPr>
        <w:t xml:space="preserve"> (</w:t>
      </w:r>
      <w:r w:rsidR="006E796A" w:rsidRPr="006E796A">
        <w:rPr>
          <w:rFonts w:ascii="Times New Roman" w:hAnsi="Times New Roman" w:cs="Times New Roman"/>
          <w:iCs/>
          <w:sz w:val="28"/>
          <w:szCs w:val="28"/>
        </w:rPr>
        <w:t>ThermoFisher Scientific, США</w:t>
      </w:r>
      <w:r w:rsidR="006E796A">
        <w:rPr>
          <w:rFonts w:ascii="Times New Roman" w:hAnsi="Times New Roman" w:cs="Times New Roman"/>
          <w:iCs/>
          <w:sz w:val="28"/>
          <w:szCs w:val="28"/>
        </w:rPr>
        <w:t>)</w:t>
      </w:r>
      <w:r w:rsidR="00567478" w:rsidRPr="00427C1E">
        <w:rPr>
          <w:rFonts w:ascii="Times New Roman" w:hAnsi="Times New Roman" w:cs="Times New Roman"/>
          <w:iCs/>
          <w:sz w:val="28"/>
          <w:szCs w:val="28"/>
        </w:rPr>
        <w:t>.</w:t>
      </w:r>
      <w:r w:rsidR="00567478" w:rsidRPr="00427C1E">
        <w:rPr>
          <w:rFonts w:ascii="Times New Roman" w:hAnsi="Times New Roman" w:cs="Times New Roman"/>
          <w:sz w:val="28"/>
          <w:szCs w:val="28"/>
        </w:rPr>
        <w:t xml:space="preserve"> </w:t>
      </w:r>
      <w:r w:rsidR="008E0801" w:rsidRPr="00427C1E">
        <w:rPr>
          <w:rFonts w:ascii="Times New Roman" w:hAnsi="Times New Roman" w:cs="Times New Roman"/>
          <w:sz w:val="28"/>
          <w:szCs w:val="28"/>
        </w:rPr>
        <w:t xml:space="preserve">В </w:t>
      </w:r>
      <w:r w:rsidR="00471DB2" w:rsidRPr="00427C1E">
        <w:rPr>
          <w:rFonts w:ascii="Times New Roman" w:hAnsi="Times New Roman" w:cs="Times New Roman"/>
          <w:sz w:val="28"/>
          <w:szCs w:val="28"/>
        </w:rPr>
        <w:t>каждую лунку 96-луночного</w:t>
      </w:r>
      <w:r w:rsidR="008E0801" w:rsidRPr="00427C1E">
        <w:rPr>
          <w:rFonts w:ascii="Times New Roman" w:hAnsi="Times New Roman" w:cs="Times New Roman"/>
          <w:sz w:val="28"/>
          <w:szCs w:val="28"/>
        </w:rPr>
        <w:t xml:space="preserve"> планшет</w:t>
      </w:r>
      <w:r w:rsidR="00471DB2" w:rsidRPr="00427C1E">
        <w:rPr>
          <w:rFonts w:ascii="Times New Roman" w:hAnsi="Times New Roman" w:cs="Times New Roman"/>
          <w:sz w:val="28"/>
          <w:szCs w:val="28"/>
        </w:rPr>
        <w:t>а добавлялись</w:t>
      </w:r>
      <w:r w:rsidR="008E0801" w:rsidRPr="00427C1E">
        <w:rPr>
          <w:rFonts w:ascii="Times New Roman" w:hAnsi="Times New Roman" w:cs="Times New Roman"/>
          <w:sz w:val="28"/>
          <w:szCs w:val="28"/>
        </w:rPr>
        <w:t xml:space="preserve"> </w:t>
      </w:r>
      <w:r w:rsidR="00567478" w:rsidRPr="00427C1E">
        <w:rPr>
          <w:rFonts w:ascii="Times New Roman" w:hAnsi="Times New Roman" w:cs="Times New Roman"/>
          <w:sz w:val="28"/>
          <w:szCs w:val="28"/>
        </w:rPr>
        <w:t>коммерческий реактив РРР</w:t>
      </w:r>
      <w:r w:rsidR="00C10C5C" w:rsidRPr="00427C1E">
        <w:rPr>
          <w:rFonts w:ascii="Times New Roman" w:hAnsi="Times New Roman" w:cs="Times New Roman"/>
          <w:sz w:val="28"/>
          <w:szCs w:val="28"/>
        </w:rPr>
        <w:t xml:space="preserve"> при конечной концент</w:t>
      </w:r>
      <w:r w:rsidR="002A1FA4">
        <w:rPr>
          <w:rFonts w:ascii="Times New Roman" w:hAnsi="Times New Roman" w:cs="Times New Roman"/>
          <w:sz w:val="28"/>
          <w:szCs w:val="28"/>
        </w:rPr>
        <w:t>рации тканевого фактора 5 п</w:t>
      </w:r>
      <w:r w:rsidR="003F1450">
        <w:rPr>
          <w:rFonts w:ascii="Times New Roman" w:hAnsi="Times New Roman" w:cs="Times New Roman"/>
          <w:sz w:val="28"/>
          <w:szCs w:val="28"/>
        </w:rPr>
        <w:t>моль</w:t>
      </w:r>
      <w:r w:rsidR="002A1FA4">
        <w:rPr>
          <w:rFonts w:ascii="Times New Roman" w:hAnsi="Times New Roman" w:cs="Times New Roman"/>
          <w:sz w:val="28"/>
          <w:szCs w:val="28"/>
        </w:rPr>
        <w:t>/л и фосфолипидов 4 м</w:t>
      </w:r>
      <w:r w:rsidR="003F1450">
        <w:rPr>
          <w:rFonts w:ascii="Times New Roman" w:hAnsi="Times New Roman" w:cs="Times New Roman"/>
          <w:sz w:val="28"/>
          <w:szCs w:val="28"/>
        </w:rPr>
        <w:t>моль</w:t>
      </w:r>
      <w:r w:rsidR="002A1FA4">
        <w:rPr>
          <w:rFonts w:ascii="Times New Roman" w:hAnsi="Times New Roman" w:cs="Times New Roman"/>
          <w:sz w:val="28"/>
          <w:szCs w:val="28"/>
        </w:rPr>
        <w:t>/</w:t>
      </w:r>
      <w:r w:rsidR="00C10C5C" w:rsidRPr="00427C1E">
        <w:rPr>
          <w:rFonts w:ascii="Times New Roman" w:hAnsi="Times New Roman" w:cs="Times New Roman"/>
          <w:sz w:val="28"/>
          <w:szCs w:val="28"/>
        </w:rPr>
        <w:t>л (</w:t>
      </w:r>
      <w:r w:rsidR="00C10C5C" w:rsidRPr="00427C1E">
        <w:rPr>
          <w:rFonts w:ascii="Times New Roman" w:hAnsi="Times New Roman" w:cs="Times New Roman"/>
          <w:sz w:val="28"/>
          <w:szCs w:val="28"/>
          <w:lang w:val="en-US"/>
        </w:rPr>
        <w:t>REF</w:t>
      </w:r>
      <w:r w:rsidR="00C10C5C" w:rsidRPr="00427C1E">
        <w:rPr>
          <w:rFonts w:ascii="Times New Roman" w:hAnsi="Times New Roman" w:cs="Times New Roman"/>
          <w:sz w:val="28"/>
          <w:szCs w:val="28"/>
        </w:rPr>
        <w:t xml:space="preserve"> 86193, </w:t>
      </w:r>
      <w:r w:rsidR="006E796A">
        <w:rPr>
          <w:rFonts w:ascii="Times New Roman" w:hAnsi="Times New Roman" w:cs="Times New Roman"/>
          <w:sz w:val="28"/>
          <w:szCs w:val="28"/>
          <w:lang w:val="en-US"/>
        </w:rPr>
        <w:t>Diagnostica</w:t>
      </w:r>
      <w:r w:rsidR="006E796A" w:rsidRPr="006E796A">
        <w:rPr>
          <w:rFonts w:ascii="Times New Roman" w:hAnsi="Times New Roman" w:cs="Times New Roman"/>
          <w:sz w:val="28"/>
          <w:szCs w:val="28"/>
        </w:rPr>
        <w:t xml:space="preserve"> </w:t>
      </w:r>
      <w:r w:rsidR="006E796A" w:rsidRPr="00427C1E">
        <w:rPr>
          <w:rFonts w:ascii="Times New Roman" w:hAnsi="Times New Roman" w:cs="Times New Roman"/>
          <w:sz w:val="28"/>
          <w:szCs w:val="28"/>
          <w:lang w:val="en-US"/>
        </w:rPr>
        <w:t>Stago</w:t>
      </w:r>
      <w:r w:rsidR="006E796A" w:rsidRPr="00427C1E">
        <w:rPr>
          <w:rFonts w:ascii="Times New Roman" w:hAnsi="Times New Roman" w:cs="Times New Roman"/>
          <w:sz w:val="28"/>
          <w:szCs w:val="28"/>
        </w:rPr>
        <w:t>, Франция</w:t>
      </w:r>
      <w:r w:rsidR="00C10C5C" w:rsidRPr="00427C1E">
        <w:rPr>
          <w:rFonts w:ascii="Times New Roman" w:hAnsi="Times New Roman" w:cs="Times New Roman"/>
          <w:sz w:val="28"/>
          <w:szCs w:val="28"/>
        </w:rPr>
        <w:t xml:space="preserve">) </w:t>
      </w:r>
      <w:r w:rsidR="008E0801" w:rsidRPr="00427C1E">
        <w:rPr>
          <w:rFonts w:ascii="Times New Roman" w:hAnsi="Times New Roman" w:cs="Times New Roman"/>
          <w:sz w:val="28"/>
          <w:szCs w:val="28"/>
        </w:rPr>
        <w:t>в объеме 20 мкл</w:t>
      </w:r>
      <w:r w:rsidR="00471DB2" w:rsidRPr="00427C1E">
        <w:rPr>
          <w:rFonts w:ascii="Times New Roman" w:hAnsi="Times New Roman" w:cs="Times New Roman"/>
          <w:sz w:val="28"/>
          <w:szCs w:val="28"/>
        </w:rPr>
        <w:t xml:space="preserve"> и образцы плазмы в объеме 80 мкл. </w:t>
      </w:r>
      <w:r w:rsidR="00371155" w:rsidRPr="00427C1E">
        <w:rPr>
          <w:rFonts w:ascii="Times New Roman" w:hAnsi="Times New Roman" w:cs="Times New Roman"/>
          <w:sz w:val="28"/>
          <w:szCs w:val="28"/>
          <w:lang w:val="en-US"/>
        </w:rPr>
        <w:t>C</w:t>
      </w:r>
      <w:r w:rsidR="00567478" w:rsidRPr="00427C1E">
        <w:rPr>
          <w:rFonts w:ascii="Times New Roman" w:hAnsi="Times New Roman" w:cs="Times New Roman"/>
          <w:sz w:val="28"/>
          <w:szCs w:val="28"/>
        </w:rPr>
        <w:t>месь специфичного субстрата (</w:t>
      </w:r>
      <w:r w:rsidR="00567478" w:rsidRPr="00427C1E">
        <w:rPr>
          <w:rFonts w:ascii="Times New Roman" w:hAnsi="Times New Roman" w:cs="Times New Roman"/>
          <w:sz w:val="28"/>
          <w:szCs w:val="28"/>
          <w:lang w:val="en-US"/>
        </w:rPr>
        <w:t>REF</w:t>
      </w:r>
      <w:r w:rsidR="00567478" w:rsidRPr="00427C1E">
        <w:rPr>
          <w:rFonts w:ascii="Times New Roman" w:hAnsi="Times New Roman" w:cs="Times New Roman"/>
          <w:sz w:val="28"/>
          <w:szCs w:val="28"/>
        </w:rPr>
        <w:t xml:space="preserve"> 86197) (</w:t>
      </w:r>
      <w:r w:rsidR="006E796A">
        <w:rPr>
          <w:rFonts w:ascii="Times New Roman" w:hAnsi="Times New Roman" w:cs="Times New Roman"/>
          <w:sz w:val="28"/>
          <w:szCs w:val="28"/>
          <w:lang w:val="en-US"/>
        </w:rPr>
        <w:t>Diagnostica</w:t>
      </w:r>
      <w:r w:rsidR="006E796A" w:rsidRPr="006E796A">
        <w:rPr>
          <w:rFonts w:ascii="Times New Roman" w:hAnsi="Times New Roman" w:cs="Times New Roman"/>
          <w:sz w:val="28"/>
          <w:szCs w:val="28"/>
        </w:rPr>
        <w:t xml:space="preserve"> </w:t>
      </w:r>
      <w:r w:rsidR="00567478" w:rsidRPr="00427C1E">
        <w:rPr>
          <w:rFonts w:ascii="Times New Roman" w:hAnsi="Times New Roman" w:cs="Times New Roman"/>
          <w:sz w:val="28"/>
          <w:szCs w:val="28"/>
          <w:lang w:val="en-US"/>
        </w:rPr>
        <w:t>Stago</w:t>
      </w:r>
      <w:r w:rsidR="00567478" w:rsidRPr="00427C1E">
        <w:rPr>
          <w:rFonts w:ascii="Times New Roman" w:hAnsi="Times New Roman" w:cs="Times New Roman"/>
          <w:sz w:val="28"/>
          <w:szCs w:val="28"/>
        </w:rPr>
        <w:t>, Франция), меченого флуорогенным аминометилкумарином (Z-Gly-Gl</w:t>
      </w:r>
      <w:r w:rsidR="006E796A">
        <w:rPr>
          <w:rFonts w:ascii="Times New Roman" w:hAnsi="Times New Roman" w:cs="Times New Roman"/>
          <w:sz w:val="28"/>
          <w:szCs w:val="28"/>
        </w:rPr>
        <w:t>y-Arg-AMC), и буфера (REF 86197,</w:t>
      </w:r>
      <w:r w:rsidR="006E796A" w:rsidRPr="006E796A">
        <w:rPr>
          <w:rFonts w:ascii="Times New Roman" w:hAnsi="Times New Roman" w:cs="Times New Roman"/>
          <w:sz w:val="28"/>
          <w:szCs w:val="28"/>
        </w:rPr>
        <w:t xml:space="preserve"> </w:t>
      </w:r>
      <w:r w:rsidR="006E796A">
        <w:rPr>
          <w:rFonts w:ascii="Times New Roman" w:hAnsi="Times New Roman" w:cs="Times New Roman"/>
          <w:sz w:val="28"/>
          <w:szCs w:val="28"/>
          <w:lang w:val="en-US"/>
        </w:rPr>
        <w:t>Diagnostica</w:t>
      </w:r>
      <w:r w:rsidR="006E796A" w:rsidRPr="006E796A">
        <w:rPr>
          <w:rFonts w:ascii="Times New Roman" w:hAnsi="Times New Roman" w:cs="Times New Roman"/>
          <w:sz w:val="28"/>
          <w:szCs w:val="28"/>
        </w:rPr>
        <w:t xml:space="preserve"> </w:t>
      </w:r>
      <w:r w:rsidR="006E796A" w:rsidRPr="00427C1E">
        <w:rPr>
          <w:rFonts w:ascii="Times New Roman" w:hAnsi="Times New Roman" w:cs="Times New Roman"/>
          <w:sz w:val="28"/>
          <w:szCs w:val="28"/>
          <w:lang w:val="en-US"/>
        </w:rPr>
        <w:t>Stago</w:t>
      </w:r>
      <w:r w:rsidR="006E796A" w:rsidRPr="00427C1E">
        <w:rPr>
          <w:rFonts w:ascii="Times New Roman" w:hAnsi="Times New Roman" w:cs="Times New Roman"/>
          <w:sz w:val="28"/>
          <w:szCs w:val="28"/>
        </w:rPr>
        <w:t>, Франция</w:t>
      </w:r>
      <w:r w:rsidR="00567478" w:rsidRPr="00427C1E">
        <w:rPr>
          <w:rFonts w:ascii="Times New Roman" w:hAnsi="Times New Roman" w:cs="Times New Roman"/>
          <w:sz w:val="28"/>
          <w:szCs w:val="28"/>
        </w:rPr>
        <w:t>) автоматически добавлялась в исследуемую плазму</w:t>
      </w:r>
      <w:r w:rsidR="00C10C5C" w:rsidRPr="00427C1E">
        <w:rPr>
          <w:rFonts w:ascii="Times New Roman" w:hAnsi="Times New Roman" w:cs="Times New Roman"/>
          <w:sz w:val="28"/>
          <w:szCs w:val="28"/>
        </w:rPr>
        <w:t>. В результате активации коагуляции и образования тромбина в образцах плазмы происходит расщепление субстрат</w:t>
      </w:r>
      <w:r w:rsidR="00F56158" w:rsidRPr="00427C1E">
        <w:rPr>
          <w:rFonts w:ascii="Times New Roman" w:hAnsi="Times New Roman" w:cs="Times New Roman"/>
          <w:sz w:val="28"/>
          <w:szCs w:val="28"/>
        </w:rPr>
        <w:t>а</w:t>
      </w:r>
      <w:r w:rsidR="00D813C8">
        <w:rPr>
          <w:rFonts w:ascii="Times New Roman" w:hAnsi="Times New Roman" w:cs="Times New Roman"/>
          <w:sz w:val="28"/>
          <w:szCs w:val="28"/>
        </w:rPr>
        <w:t xml:space="preserve"> и высвобождение флюоре</w:t>
      </w:r>
      <w:r w:rsidR="00C10C5C" w:rsidRPr="00427C1E">
        <w:rPr>
          <w:rFonts w:ascii="Times New Roman" w:hAnsi="Times New Roman" w:cs="Times New Roman"/>
          <w:sz w:val="28"/>
          <w:szCs w:val="28"/>
        </w:rPr>
        <w:t>сцентной метки, сигнал от ко</w:t>
      </w:r>
      <w:r w:rsidR="00427C1E">
        <w:rPr>
          <w:rFonts w:ascii="Times New Roman" w:hAnsi="Times New Roman" w:cs="Times New Roman"/>
          <w:sz w:val="28"/>
          <w:szCs w:val="28"/>
        </w:rPr>
        <w:t xml:space="preserve">торой регистрируется с помощью </w:t>
      </w:r>
      <w:r w:rsidR="00C10C5C" w:rsidRPr="00427C1E">
        <w:rPr>
          <w:rFonts w:ascii="Times New Roman" w:hAnsi="Times New Roman" w:cs="Times New Roman"/>
          <w:sz w:val="28"/>
          <w:szCs w:val="28"/>
        </w:rPr>
        <w:t>флюориметра</w:t>
      </w:r>
      <w:r w:rsidR="006E796A" w:rsidRPr="006E796A">
        <w:rPr>
          <w:rFonts w:ascii="Times New Roman" w:hAnsi="Times New Roman" w:cs="Times New Roman"/>
          <w:sz w:val="28"/>
          <w:szCs w:val="28"/>
        </w:rPr>
        <w:t xml:space="preserve"> </w:t>
      </w:r>
      <w:r w:rsidR="006E796A">
        <w:rPr>
          <w:rFonts w:ascii="Times New Roman" w:hAnsi="Times New Roman" w:cs="Times New Roman"/>
          <w:iCs/>
          <w:sz w:val="28"/>
          <w:szCs w:val="28"/>
          <w:lang w:val="en-US"/>
        </w:rPr>
        <w:t>Fluoroscan</w:t>
      </w:r>
      <w:r w:rsidR="006E796A" w:rsidRPr="00BF6C38">
        <w:rPr>
          <w:rFonts w:ascii="Times New Roman" w:hAnsi="Times New Roman" w:cs="Times New Roman"/>
          <w:iCs/>
          <w:sz w:val="28"/>
          <w:szCs w:val="28"/>
        </w:rPr>
        <w:t xml:space="preserve"> </w:t>
      </w:r>
      <w:r w:rsidR="006E796A">
        <w:rPr>
          <w:rFonts w:ascii="Times New Roman" w:hAnsi="Times New Roman" w:cs="Times New Roman"/>
          <w:iCs/>
          <w:sz w:val="28"/>
          <w:szCs w:val="28"/>
          <w:lang w:val="en-US"/>
        </w:rPr>
        <w:t>Ascent</w:t>
      </w:r>
      <w:r w:rsidR="00C10C5C" w:rsidRPr="00427C1E">
        <w:rPr>
          <w:rFonts w:ascii="Times New Roman" w:hAnsi="Times New Roman" w:cs="Times New Roman"/>
          <w:sz w:val="28"/>
          <w:szCs w:val="28"/>
        </w:rPr>
        <w:t xml:space="preserve">. </w:t>
      </w:r>
      <w:r w:rsidR="00F56158" w:rsidRPr="00427C1E">
        <w:rPr>
          <w:rFonts w:ascii="Times New Roman" w:hAnsi="Times New Roman" w:cs="Times New Roman"/>
          <w:sz w:val="28"/>
          <w:szCs w:val="28"/>
        </w:rPr>
        <w:t>Р</w:t>
      </w:r>
      <w:r w:rsidR="00C10C5C" w:rsidRPr="00427C1E" w:rsidDel="00602D44">
        <w:rPr>
          <w:rFonts w:ascii="Times New Roman" w:hAnsi="Times New Roman" w:cs="Times New Roman"/>
          <w:sz w:val="28"/>
          <w:szCs w:val="28"/>
        </w:rPr>
        <w:t xml:space="preserve">езультаты </w:t>
      </w:r>
      <w:r w:rsidR="00C10C5C" w:rsidRPr="00427C1E">
        <w:rPr>
          <w:rFonts w:ascii="Times New Roman" w:hAnsi="Times New Roman" w:cs="Times New Roman"/>
          <w:sz w:val="28"/>
          <w:szCs w:val="28"/>
        </w:rPr>
        <w:t>рассчитывались</w:t>
      </w:r>
      <w:r w:rsidR="00C10C5C" w:rsidRPr="00427C1E" w:rsidDel="00602D44">
        <w:rPr>
          <w:rFonts w:ascii="Times New Roman" w:hAnsi="Times New Roman" w:cs="Times New Roman"/>
          <w:sz w:val="28"/>
          <w:szCs w:val="28"/>
        </w:rPr>
        <w:t xml:space="preserve"> относительно калибратора с активностью тромбина 825 нМ (</w:t>
      </w:r>
      <w:r w:rsidR="00C10C5C" w:rsidRPr="00427C1E" w:rsidDel="00602D44">
        <w:rPr>
          <w:rFonts w:ascii="Times New Roman" w:hAnsi="Times New Roman" w:cs="Times New Roman"/>
          <w:sz w:val="28"/>
          <w:szCs w:val="28"/>
          <w:lang w:val="en-US"/>
        </w:rPr>
        <w:t>REF</w:t>
      </w:r>
      <w:r w:rsidR="00427C1E">
        <w:rPr>
          <w:rFonts w:ascii="Times New Roman" w:hAnsi="Times New Roman" w:cs="Times New Roman"/>
          <w:sz w:val="28"/>
          <w:szCs w:val="28"/>
        </w:rPr>
        <w:t xml:space="preserve"> 86192</w:t>
      </w:r>
      <w:r w:rsidR="00822A60" w:rsidRPr="00822A60">
        <w:rPr>
          <w:rFonts w:ascii="Times New Roman" w:hAnsi="Times New Roman" w:cs="Times New Roman"/>
          <w:sz w:val="28"/>
          <w:szCs w:val="28"/>
        </w:rPr>
        <w:t xml:space="preserve">, </w:t>
      </w:r>
      <w:r w:rsidR="00822A60">
        <w:rPr>
          <w:rFonts w:ascii="Times New Roman" w:hAnsi="Times New Roman" w:cs="Times New Roman"/>
          <w:sz w:val="28"/>
          <w:szCs w:val="28"/>
          <w:lang w:val="en-US"/>
        </w:rPr>
        <w:t>Diagnostica</w:t>
      </w:r>
      <w:r w:rsidR="00822A60" w:rsidRPr="006E796A">
        <w:rPr>
          <w:rFonts w:ascii="Times New Roman" w:hAnsi="Times New Roman" w:cs="Times New Roman"/>
          <w:sz w:val="28"/>
          <w:szCs w:val="28"/>
        </w:rPr>
        <w:t xml:space="preserve"> </w:t>
      </w:r>
      <w:r w:rsidR="00822A60" w:rsidRPr="00427C1E">
        <w:rPr>
          <w:rFonts w:ascii="Times New Roman" w:hAnsi="Times New Roman" w:cs="Times New Roman"/>
          <w:sz w:val="28"/>
          <w:szCs w:val="28"/>
          <w:lang w:val="en-US"/>
        </w:rPr>
        <w:t>Stago</w:t>
      </w:r>
      <w:r w:rsidR="00822A60" w:rsidRPr="00427C1E">
        <w:rPr>
          <w:rFonts w:ascii="Times New Roman" w:hAnsi="Times New Roman" w:cs="Times New Roman"/>
          <w:sz w:val="28"/>
          <w:szCs w:val="28"/>
        </w:rPr>
        <w:t>, Франция</w:t>
      </w:r>
      <w:r w:rsidR="00427C1E">
        <w:rPr>
          <w:rFonts w:ascii="Times New Roman" w:hAnsi="Times New Roman" w:cs="Times New Roman"/>
          <w:sz w:val="28"/>
          <w:szCs w:val="28"/>
        </w:rPr>
        <w:t>).</w:t>
      </w:r>
    </w:p>
    <w:p w14:paraId="5B657E87" w14:textId="38A11D03" w:rsidR="00487ED8" w:rsidRPr="003160C0" w:rsidRDefault="004E7D4C" w:rsidP="00487ED8">
      <w:pPr>
        <w:spacing w:after="0" w:line="48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Технология 2:</w:t>
      </w:r>
      <w:r w:rsidR="00371155" w:rsidRPr="00427C1E">
        <w:rPr>
          <w:rFonts w:ascii="Times New Roman" w:hAnsi="Times New Roman" w:cs="Times New Roman"/>
          <w:sz w:val="28"/>
          <w:szCs w:val="28"/>
        </w:rPr>
        <w:t xml:space="preserve"> ГТ </w:t>
      </w:r>
      <w:r w:rsidR="002A1FA4" w:rsidRPr="00427C1E">
        <w:rPr>
          <w:rFonts w:ascii="Times New Roman" w:hAnsi="Times New Roman" w:cs="Times New Roman"/>
          <w:sz w:val="28"/>
          <w:szCs w:val="28"/>
        </w:rPr>
        <w:t>определялась</w:t>
      </w:r>
      <w:r w:rsidR="00F56158" w:rsidRPr="00427C1E">
        <w:rPr>
          <w:rFonts w:ascii="Times New Roman" w:hAnsi="Times New Roman" w:cs="Times New Roman"/>
          <w:sz w:val="28"/>
          <w:szCs w:val="28"/>
        </w:rPr>
        <w:t xml:space="preserve"> </w:t>
      </w:r>
      <w:r w:rsidR="00371155" w:rsidRPr="00427C1E">
        <w:rPr>
          <w:rFonts w:ascii="Times New Roman" w:hAnsi="Times New Roman" w:cs="Times New Roman"/>
          <w:sz w:val="28"/>
          <w:szCs w:val="28"/>
        </w:rPr>
        <w:t xml:space="preserve">на оптическом приборе </w:t>
      </w:r>
      <w:r w:rsidR="00371155" w:rsidRPr="00427C1E">
        <w:rPr>
          <w:rFonts w:ascii="Times New Roman" w:hAnsi="Times New Roman" w:cs="Times New Roman"/>
          <w:sz w:val="28"/>
          <w:szCs w:val="28"/>
          <w:lang w:val="en-US"/>
        </w:rPr>
        <w:t>Ceveron</w:t>
      </w:r>
      <w:r w:rsidR="00371155" w:rsidRPr="00427C1E">
        <w:rPr>
          <w:rFonts w:ascii="Times New Roman" w:hAnsi="Times New Roman" w:cs="Times New Roman"/>
          <w:sz w:val="28"/>
          <w:szCs w:val="28"/>
        </w:rPr>
        <w:t xml:space="preserve"> </w:t>
      </w:r>
      <w:r w:rsidR="00371155" w:rsidRPr="00427C1E">
        <w:rPr>
          <w:rFonts w:ascii="Times New Roman" w:hAnsi="Times New Roman" w:cs="Times New Roman"/>
          <w:sz w:val="28"/>
          <w:szCs w:val="28"/>
          <w:lang w:val="en-US"/>
        </w:rPr>
        <w:t>Alpha</w:t>
      </w:r>
      <w:r w:rsidR="00371155" w:rsidRPr="00427C1E">
        <w:rPr>
          <w:rFonts w:ascii="Times New Roman" w:hAnsi="Times New Roman" w:cs="Times New Roman"/>
          <w:sz w:val="28"/>
          <w:szCs w:val="28"/>
        </w:rPr>
        <w:t xml:space="preserve"> </w:t>
      </w:r>
      <w:r w:rsidR="00371155" w:rsidRPr="00427C1E">
        <w:rPr>
          <w:rFonts w:ascii="Times New Roman" w:hAnsi="Times New Roman" w:cs="Times New Roman"/>
          <w:sz w:val="28"/>
          <w:szCs w:val="28"/>
          <w:lang w:val="en-US"/>
        </w:rPr>
        <w:t>TGA</w:t>
      </w:r>
      <w:r w:rsidR="00371155" w:rsidRPr="00427C1E">
        <w:rPr>
          <w:rFonts w:ascii="Times New Roman" w:hAnsi="Times New Roman" w:cs="Times New Roman"/>
          <w:sz w:val="28"/>
          <w:szCs w:val="28"/>
        </w:rPr>
        <w:t xml:space="preserve"> (</w:t>
      </w:r>
      <w:r w:rsidR="00371155" w:rsidRPr="00427C1E">
        <w:rPr>
          <w:rFonts w:ascii="Times New Roman" w:hAnsi="Times New Roman" w:cs="Times New Roman"/>
          <w:sz w:val="28"/>
          <w:szCs w:val="28"/>
          <w:lang w:val="en-US"/>
        </w:rPr>
        <w:t>Technoclone</w:t>
      </w:r>
      <w:r w:rsidR="00371155" w:rsidRPr="00427C1E">
        <w:rPr>
          <w:rFonts w:ascii="Times New Roman" w:hAnsi="Times New Roman" w:cs="Times New Roman"/>
          <w:sz w:val="28"/>
          <w:szCs w:val="28"/>
        </w:rPr>
        <w:t xml:space="preserve">, Австрия). Принцип метода </w:t>
      </w:r>
      <w:r w:rsidR="00F56158" w:rsidRPr="00427C1E">
        <w:rPr>
          <w:rFonts w:ascii="Times New Roman" w:hAnsi="Times New Roman" w:cs="Times New Roman"/>
          <w:sz w:val="28"/>
          <w:szCs w:val="28"/>
        </w:rPr>
        <w:t>а</w:t>
      </w:r>
      <w:r w:rsidR="00371155" w:rsidRPr="00427C1E">
        <w:rPr>
          <w:rFonts w:ascii="Times New Roman" w:hAnsi="Times New Roman" w:cs="Times New Roman"/>
          <w:sz w:val="28"/>
          <w:szCs w:val="28"/>
        </w:rPr>
        <w:t>налогичен предыдущему</w:t>
      </w:r>
      <w:r w:rsidR="00BD698B">
        <w:rPr>
          <w:rFonts w:ascii="Times New Roman" w:hAnsi="Times New Roman" w:cs="Times New Roman"/>
          <w:sz w:val="28"/>
          <w:szCs w:val="28"/>
        </w:rPr>
        <w:t>, но все этапы автоматизированы</w:t>
      </w:r>
      <w:r w:rsidR="00D56F64" w:rsidRPr="00D56F64">
        <w:rPr>
          <w:rFonts w:ascii="Times New Roman" w:hAnsi="Times New Roman" w:cs="Times New Roman"/>
          <w:sz w:val="28"/>
          <w:szCs w:val="28"/>
        </w:rPr>
        <w:t>.</w:t>
      </w:r>
      <w:bookmarkStart w:id="0" w:name="_GoBack"/>
      <w:bookmarkEnd w:id="0"/>
      <w:r w:rsidR="00B91C49" w:rsidRPr="00427C1E">
        <w:rPr>
          <w:rFonts w:ascii="Times New Roman" w:hAnsi="Times New Roman" w:cs="Times New Roman"/>
          <w:sz w:val="28"/>
          <w:szCs w:val="28"/>
        </w:rPr>
        <w:t xml:space="preserve"> </w:t>
      </w:r>
      <w:r w:rsidR="00371155" w:rsidRPr="00427C1E">
        <w:rPr>
          <w:rFonts w:ascii="Times New Roman" w:hAnsi="Times New Roman" w:cs="Times New Roman"/>
          <w:sz w:val="28"/>
          <w:szCs w:val="28"/>
        </w:rPr>
        <w:t>Для</w:t>
      </w:r>
      <w:r w:rsidR="00B91C49" w:rsidRPr="00427C1E">
        <w:rPr>
          <w:rFonts w:ascii="Times New Roman" w:hAnsi="Times New Roman" w:cs="Times New Roman"/>
          <w:sz w:val="28"/>
          <w:szCs w:val="28"/>
        </w:rPr>
        <w:t xml:space="preserve"> активации каскада коагуляции</w:t>
      </w:r>
      <w:r w:rsidR="00371155" w:rsidRPr="00427C1E">
        <w:rPr>
          <w:rFonts w:ascii="Times New Roman" w:hAnsi="Times New Roman" w:cs="Times New Roman"/>
          <w:sz w:val="28"/>
          <w:szCs w:val="28"/>
        </w:rPr>
        <w:t xml:space="preserve"> использовали триг</w:t>
      </w:r>
      <w:r w:rsidR="002A1FA4">
        <w:rPr>
          <w:rFonts w:ascii="Times New Roman" w:hAnsi="Times New Roman" w:cs="Times New Roman"/>
          <w:sz w:val="28"/>
          <w:szCs w:val="28"/>
        </w:rPr>
        <w:t>г</w:t>
      </w:r>
      <w:r w:rsidR="00371155" w:rsidRPr="00427C1E">
        <w:rPr>
          <w:rFonts w:ascii="Times New Roman" w:hAnsi="Times New Roman" w:cs="Times New Roman"/>
          <w:sz w:val="28"/>
          <w:szCs w:val="28"/>
        </w:rPr>
        <w:t xml:space="preserve">ерный реагент </w:t>
      </w:r>
      <w:r w:rsidR="00D813C8">
        <w:rPr>
          <w:rFonts w:ascii="Times New Roman" w:hAnsi="Times New Roman" w:cs="Times New Roman"/>
          <w:sz w:val="28"/>
          <w:szCs w:val="28"/>
          <w:lang w:val="en-US"/>
        </w:rPr>
        <w:t>RC</w:t>
      </w:r>
      <w:r w:rsidR="00D813C8" w:rsidRPr="00D813C8">
        <w:rPr>
          <w:rFonts w:ascii="Times New Roman" w:hAnsi="Times New Roman" w:cs="Times New Roman"/>
          <w:sz w:val="28"/>
          <w:szCs w:val="28"/>
        </w:rPr>
        <w:t xml:space="preserve"> </w:t>
      </w:r>
      <w:r w:rsidR="00D813C8">
        <w:rPr>
          <w:rFonts w:ascii="Times New Roman" w:hAnsi="Times New Roman" w:cs="Times New Roman"/>
          <w:sz w:val="28"/>
          <w:szCs w:val="28"/>
          <w:lang w:val="en-US"/>
        </w:rPr>
        <w:t>L</w:t>
      </w:r>
      <w:r w:rsidR="00371155" w:rsidRPr="00427C1E">
        <w:rPr>
          <w:rFonts w:ascii="Times New Roman" w:hAnsi="Times New Roman" w:cs="Times New Roman"/>
          <w:sz w:val="28"/>
          <w:szCs w:val="28"/>
          <w:lang w:val="en-US"/>
        </w:rPr>
        <w:t>ow</w:t>
      </w:r>
      <w:r w:rsidR="00371155" w:rsidRPr="00427C1E">
        <w:rPr>
          <w:rFonts w:ascii="Times New Roman" w:hAnsi="Times New Roman" w:cs="Times New Roman"/>
          <w:sz w:val="28"/>
          <w:szCs w:val="28"/>
        </w:rPr>
        <w:t xml:space="preserve"> (</w:t>
      </w:r>
      <w:r w:rsidR="00371155" w:rsidRPr="00427C1E">
        <w:rPr>
          <w:rFonts w:ascii="Times New Roman" w:hAnsi="Times New Roman" w:cs="Times New Roman"/>
          <w:sz w:val="28"/>
          <w:szCs w:val="28"/>
          <w:lang w:val="en-US"/>
        </w:rPr>
        <w:t>REF</w:t>
      </w:r>
      <w:r w:rsidR="00371155" w:rsidRPr="00427C1E">
        <w:rPr>
          <w:rFonts w:ascii="Times New Roman" w:hAnsi="Times New Roman" w:cs="Times New Roman"/>
          <w:sz w:val="28"/>
          <w:szCs w:val="28"/>
        </w:rPr>
        <w:t xml:space="preserve"> 5006013, Technoclone, Австрия) с низким содержанием </w:t>
      </w:r>
      <w:r w:rsidR="00B91C49" w:rsidRPr="00427C1E">
        <w:rPr>
          <w:rFonts w:ascii="Times New Roman" w:hAnsi="Times New Roman" w:cs="Times New Roman"/>
          <w:sz w:val="28"/>
          <w:szCs w:val="28"/>
        </w:rPr>
        <w:t>тканев</w:t>
      </w:r>
      <w:r w:rsidR="00371155" w:rsidRPr="00427C1E">
        <w:rPr>
          <w:rFonts w:ascii="Times New Roman" w:hAnsi="Times New Roman" w:cs="Times New Roman"/>
          <w:sz w:val="28"/>
          <w:szCs w:val="28"/>
        </w:rPr>
        <w:t>ого</w:t>
      </w:r>
      <w:r w:rsidR="00B91C49" w:rsidRPr="00427C1E">
        <w:rPr>
          <w:rFonts w:ascii="Times New Roman" w:hAnsi="Times New Roman" w:cs="Times New Roman"/>
          <w:sz w:val="28"/>
          <w:szCs w:val="28"/>
        </w:rPr>
        <w:t xml:space="preserve"> фактор</w:t>
      </w:r>
      <w:r w:rsidR="00371155" w:rsidRPr="00427C1E">
        <w:rPr>
          <w:rFonts w:ascii="Times New Roman" w:hAnsi="Times New Roman" w:cs="Times New Roman"/>
          <w:sz w:val="28"/>
          <w:szCs w:val="28"/>
        </w:rPr>
        <w:t xml:space="preserve">а </w:t>
      </w:r>
      <w:r w:rsidR="00B91C49" w:rsidRPr="00427C1E">
        <w:rPr>
          <w:rFonts w:ascii="Times New Roman" w:hAnsi="Times New Roman" w:cs="Times New Roman"/>
          <w:sz w:val="28"/>
          <w:szCs w:val="28"/>
        </w:rPr>
        <w:t>и фосфолипид</w:t>
      </w:r>
      <w:r w:rsidR="00371155" w:rsidRPr="00427C1E">
        <w:rPr>
          <w:rFonts w:ascii="Times New Roman" w:hAnsi="Times New Roman" w:cs="Times New Roman"/>
          <w:sz w:val="28"/>
          <w:szCs w:val="28"/>
        </w:rPr>
        <w:t>ов</w:t>
      </w:r>
      <w:r w:rsidR="00B91C49" w:rsidRPr="00427C1E">
        <w:rPr>
          <w:rFonts w:ascii="Times New Roman" w:hAnsi="Times New Roman" w:cs="Times New Roman"/>
          <w:sz w:val="28"/>
          <w:szCs w:val="28"/>
        </w:rPr>
        <w:t xml:space="preserve">. </w:t>
      </w:r>
      <w:r w:rsidR="00371155" w:rsidRPr="00427C1E">
        <w:rPr>
          <w:rFonts w:ascii="Times New Roman" w:hAnsi="Times New Roman" w:cs="Times New Roman"/>
          <w:sz w:val="28"/>
          <w:szCs w:val="28"/>
        </w:rPr>
        <w:t>ГТ</w:t>
      </w:r>
      <w:r w:rsidR="00B91C49" w:rsidRPr="00427C1E">
        <w:rPr>
          <w:rFonts w:ascii="Times New Roman" w:hAnsi="Times New Roman" w:cs="Times New Roman"/>
          <w:sz w:val="28"/>
          <w:szCs w:val="28"/>
        </w:rPr>
        <w:t xml:space="preserve"> </w:t>
      </w:r>
      <w:r w:rsidR="00371155" w:rsidRPr="00427C1E">
        <w:rPr>
          <w:rFonts w:ascii="Times New Roman" w:hAnsi="Times New Roman" w:cs="Times New Roman"/>
          <w:sz w:val="28"/>
          <w:szCs w:val="28"/>
        </w:rPr>
        <w:t>измеряется</w:t>
      </w:r>
      <w:r w:rsidR="00B91C49" w:rsidRPr="00427C1E">
        <w:rPr>
          <w:rFonts w:ascii="Times New Roman" w:hAnsi="Times New Roman" w:cs="Times New Roman"/>
          <w:sz w:val="28"/>
          <w:szCs w:val="28"/>
        </w:rPr>
        <w:t xml:space="preserve"> с помощью специально адаптированного флуориметрического модуля ТГ</w:t>
      </w:r>
      <w:r w:rsidR="00371155" w:rsidRPr="00427C1E">
        <w:rPr>
          <w:rFonts w:ascii="Times New Roman" w:hAnsi="Times New Roman" w:cs="Times New Roman"/>
          <w:sz w:val="28"/>
          <w:szCs w:val="28"/>
        </w:rPr>
        <w:t>Т</w:t>
      </w:r>
      <w:r w:rsidR="00B91C49" w:rsidRPr="00427C1E">
        <w:rPr>
          <w:rFonts w:ascii="Times New Roman" w:hAnsi="Times New Roman" w:cs="Times New Roman"/>
          <w:sz w:val="28"/>
          <w:szCs w:val="28"/>
        </w:rPr>
        <w:t xml:space="preserve">. </w:t>
      </w:r>
      <w:r w:rsidR="00CF4466" w:rsidRPr="00427C1E">
        <w:rPr>
          <w:rFonts w:ascii="Times New Roman" w:hAnsi="Times New Roman" w:cs="Times New Roman"/>
          <w:sz w:val="28"/>
          <w:szCs w:val="28"/>
        </w:rPr>
        <w:t>В постановке использовалась контрольная плазма с низкой и высокой активностью тромбинообразования (</w:t>
      </w:r>
      <w:r w:rsidR="00CF4466" w:rsidRPr="00427C1E">
        <w:rPr>
          <w:rFonts w:ascii="Times New Roman" w:hAnsi="Times New Roman" w:cs="Times New Roman"/>
          <w:sz w:val="28"/>
          <w:szCs w:val="28"/>
          <w:lang w:val="en-US"/>
        </w:rPr>
        <w:t>Technoclone</w:t>
      </w:r>
      <w:r w:rsidR="00CF4466" w:rsidRPr="00427C1E">
        <w:rPr>
          <w:rFonts w:ascii="Times New Roman" w:hAnsi="Times New Roman" w:cs="Times New Roman"/>
          <w:sz w:val="28"/>
          <w:szCs w:val="28"/>
        </w:rPr>
        <w:t xml:space="preserve">, Австрия). </w:t>
      </w:r>
      <w:r w:rsidR="0062575F" w:rsidRPr="00427C1E">
        <w:rPr>
          <w:rFonts w:ascii="Times New Roman" w:hAnsi="Times New Roman" w:cs="Times New Roman"/>
          <w:sz w:val="28"/>
          <w:szCs w:val="28"/>
        </w:rPr>
        <w:t xml:space="preserve">Конечные </w:t>
      </w:r>
      <w:r w:rsidR="00C10C5C" w:rsidRPr="00427C1E">
        <w:rPr>
          <w:rFonts w:ascii="Times New Roman" w:hAnsi="Times New Roman" w:cs="Times New Roman"/>
          <w:sz w:val="28"/>
          <w:szCs w:val="28"/>
        </w:rPr>
        <w:t xml:space="preserve">объемы </w:t>
      </w:r>
      <w:r w:rsidR="0062575F" w:rsidRPr="00427C1E">
        <w:rPr>
          <w:rFonts w:ascii="Times New Roman" w:hAnsi="Times New Roman" w:cs="Times New Roman"/>
          <w:sz w:val="28"/>
          <w:szCs w:val="28"/>
        </w:rPr>
        <w:t xml:space="preserve">в исследуемом образце: 40 мкл плазмы в 20 мкл буфера и 40 мкл флуорогенного субстрата, 15 </w:t>
      </w:r>
      <w:r w:rsidR="0062575F" w:rsidRPr="00427C1E">
        <w:rPr>
          <w:rFonts w:ascii="Times New Roman" w:hAnsi="Times New Roman" w:cs="Times New Roman"/>
          <w:sz w:val="28"/>
          <w:szCs w:val="28"/>
        </w:rPr>
        <w:lastRenderedPageBreak/>
        <w:t>мкл триггерного реагента RC</w:t>
      </w:r>
      <w:r w:rsidR="00D813C8" w:rsidRPr="00D813C8">
        <w:rPr>
          <w:rFonts w:ascii="Times New Roman" w:hAnsi="Times New Roman" w:cs="Times New Roman"/>
          <w:sz w:val="28"/>
          <w:szCs w:val="28"/>
        </w:rPr>
        <w:t xml:space="preserve"> </w:t>
      </w:r>
      <w:r w:rsidR="00D813C8">
        <w:rPr>
          <w:rFonts w:ascii="Times New Roman" w:hAnsi="Times New Roman" w:cs="Times New Roman"/>
          <w:sz w:val="28"/>
          <w:szCs w:val="28"/>
          <w:lang w:val="en-US"/>
        </w:rPr>
        <w:t>L</w:t>
      </w:r>
      <w:r w:rsidR="0062575F" w:rsidRPr="00427C1E">
        <w:rPr>
          <w:rFonts w:ascii="Times New Roman" w:hAnsi="Times New Roman" w:cs="Times New Roman"/>
          <w:sz w:val="28"/>
          <w:szCs w:val="28"/>
          <w:lang w:val="en-US"/>
        </w:rPr>
        <w:t>ow</w:t>
      </w:r>
      <w:r w:rsidR="0062575F" w:rsidRPr="00427C1E">
        <w:rPr>
          <w:rFonts w:ascii="Times New Roman" w:hAnsi="Times New Roman" w:cs="Times New Roman"/>
          <w:sz w:val="28"/>
          <w:szCs w:val="28"/>
        </w:rPr>
        <w:t xml:space="preserve"> и 35 мкл </w:t>
      </w:r>
      <w:r w:rsidR="002A1FA4">
        <w:rPr>
          <w:rFonts w:ascii="Times New Roman" w:hAnsi="Times New Roman" w:cs="Times New Roman"/>
          <w:sz w:val="28"/>
          <w:szCs w:val="28"/>
        </w:rPr>
        <w:t xml:space="preserve">раствора хлорида </w:t>
      </w:r>
      <w:r w:rsidR="002A1FA4" w:rsidRPr="00BD14AA">
        <w:rPr>
          <w:rFonts w:ascii="Times New Roman" w:hAnsi="Times New Roman" w:cs="Times New Roman"/>
          <w:sz w:val="28"/>
          <w:szCs w:val="28"/>
        </w:rPr>
        <w:t>кальция</w:t>
      </w:r>
      <w:r w:rsidR="0062575F" w:rsidRPr="00BD14AA">
        <w:rPr>
          <w:rFonts w:ascii="Times New Roman" w:hAnsi="Times New Roman" w:cs="Times New Roman"/>
          <w:sz w:val="28"/>
          <w:szCs w:val="28"/>
        </w:rPr>
        <w:t xml:space="preserve"> </w:t>
      </w:r>
      <w:r w:rsidR="005D2886" w:rsidRPr="00BD14AA">
        <w:rPr>
          <w:rFonts w:ascii="Times New Roman" w:hAnsi="Times New Roman" w:cs="Times New Roman"/>
          <w:sz w:val="28"/>
          <w:szCs w:val="28"/>
        </w:rPr>
        <w:t>[</w:t>
      </w:r>
      <w:r w:rsidR="003812CD" w:rsidRPr="00BD14AA">
        <w:rPr>
          <w:rFonts w:ascii="Times New Roman" w:hAnsi="Times New Roman" w:cs="Times New Roman"/>
          <w:sz w:val="28"/>
          <w:szCs w:val="28"/>
        </w:rPr>
        <w:fldChar w:fldCharType="begin"/>
      </w:r>
      <w:r w:rsidR="008579BC" w:rsidRPr="00BD14AA">
        <w:rPr>
          <w:rFonts w:ascii="Times New Roman" w:hAnsi="Times New Roman" w:cs="Times New Roman"/>
          <w:sz w:val="28"/>
          <w:szCs w:val="28"/>
        </w:rPr>
        <w:instrText xml:space="preserve"> ADDIN ZOTERO_ITEM CSL_CITATION {"citationID":"ohog2btG","properties":{"formattedCitation":"(5)","plainCitation":"(5)","noteIndex":0},"citationItems":[{"id":94,"uris":["http://zotero.org/users/local/yCd0M2za/items/IMTFXJ2V"],"itemData":{"id":94,"type":"article-journal","abstract":"Abstract\n            Aims: Aim of the study was to show the suitability of the new coagulation analyzer Ceveron® alpha for determination of thrombin generation (TGA) in routine laboratories for discrimination of normal plasma samples from haemophilic and thrombophilic patient samples, from patients with a Lupus syndrome and patients with bleeding disorders.\n            Methods: TGA was determined by a thrombin generation assay based on monitoring the formation of thrombin by means of a fluorigenic substrate upon activation of the coagulation cascade by tissue factor and phospholipids using 2 reagents with different phospholipid concentrations (RClow and RChigh) on Ceveron® alpha. Thrombin generation is measured with a specially adapted TGA fluorimetric module which is placed over the cuvette rotor. Readout parameters were lag time (tLag), peak thrombin (Peak), time to peak(tPeak), velocity index (VI) and area under the curve (AUC). In case of patients with Lupus Anticoagulants a ratio of peak thrombin values triggered with RClow and RChigh was formed. Four laboratory groups participated in the study. All patient samples used for thrombin generation measurement were characterized by routine parameters.\n            Results: Group 1 analyzed samples with bleeding disorders. Peak thombin values showed the best discrimination between Hemophilia B patients (41.9, SD12.7nM), Hemophilia B patient after treatment (188.9nM) and normal controls (208.5nM, SD= 74.0). In Hemophilia A patients tLag was the best parameter to discriminate severe Hemophilia A (8.5min) from acquired hemophilia A and VWD (4.6 min, SD=2.1).\n            Normal ranges for TGA established in group 1 (n=16) were tLag 2.7min (SD=0.8), tPeak 7.8min (SD=1.9), peak thrombin 208.5nM (SD= 74), AUC 1769.4 (SD=327.9).\n            Group 2 analyzed samples of thrombophilic patients with pregnancy (n=30). Patient samples showed peak thrombin values (310.9nM, SD= 65.7) above normals (174.2nM, SD= 22.5). Even patients with heparin treatment had high peak thrombin values (340.5nM, SD=67.2). In heparin treated patients D-dimer values were pathologic as well.\n            Group 3 determined thrombin generation in patients with Lupus Anticoagulants determined by dRVVT, APTT-LA, Lupus-Ceveron and anti-cardiolipin antibodies (ACA). Patients only with high ACA values showed normal peak thrombin ratios of RClow/RChigh 0.6 (SD= 0.07) whereas the ratio in patients with high lupus anticoagulants as measured in the coagulation tests was 0.98 (SD= 0.31) for high antibody titer and 0.83 (SD 0.01) for low antibody titer. Inter-assay CVs in the normal control determined by this laboratory were 2.67% for peak thrombin and 4.83% for AUC and in thrombophilic plasma 3.0% for peak thrombin and 1.41% for AUC.\n            Group 4 determined TGA in orally anticoagulated patients. Normal range for peak thrombin established in this laboratory is 220nM (SD=52, n=12). Oral anticoagulant treatment lowered the AUC (from 1713.3nM, SD= 435.4 thrombin in samples with INR in the range 1 – 1.5 to 894.4nM, SD= 229.2 thrombin in samples with INR in the range 2 – 2.5) and peak thrombin formation (from 204.1nM, SD= 73.5 peak thrombin in samples with INR in the range 1 –1.5 to 79.0nM, SD= 35.2 peak thrombin in samples with INR in the range 2 – 2.5) and prolonged the tLag (from 5.5min, SD= 1.7 in samples with INR in the range 1 –1.5 to 7.6min, SD= 2.4 in samples with INR in the range 2 – 2.5.\n            Conclusions: TGA can be measured reproducibly with low variation under routine laboratory conditions. Peak thrombin is the best parameter for discrimination of patient samples from normals in haemophiliacs, in thrombophilia, patients with a Lupus syndrome, pregnancy and bleeding disorders. With automated, standardised thrombin generation measurement on the Ceveron® alpha large prospective studies can be conducted to confirm these results.","container-title":"Blood","DOI":"10.1182/blood.V112.11.4089.4089","ISSN":"0006-4971, 1528-0020","issue":"11","language":"en","page":"4089-4089","source":"DOI.org (Crossref)","title":"First Experiences with the Measurement of Thrombin Generation (TGA) on the Ceveron® Alpha in the Routine Lab","volume":"112","author":[{"family":"Wagner","given":"Lieselotte"},{"family":"Luddington","given":"Roger"},{"family":"Wiens","given":"Lilli"},{"family":"Grigorov","given":"Alexandre"},{"family":"Hrachovinová","given":"Ingrid"},{"family":"Binder","given":"Bernd"}],"issued":{"date-parts":[["2008",11,16]]}}}],"schema":"https://github.com/citation-style-language/schema/raw/master/csl-citation.json"} </w:instrText>
      </w:r>
      <w:r w:rsidR="003812CD" w:rsidRPr="00BD14AA">
        <w:rPr>
          <w:rFonts w:ascii="Times New Roman" w:hAnsi="Times New Roman" w:cs="Times New Roman"/>
          <w:sz w:val="28"/>
          <w:szCs w:val="28"/>
        </w:rPr>
        <w:fldChar w:fldCharType="separate"/>
      </w:r>
      <w:r w:rsidR="008579BC" w:rsidRPr="00BD14AA">
        <w:rPr>
          <w:rFonts w:ascii="Times New Roman" w:hAnsi="Times New Roman" w:cs="Times New Roman"/>
          <w:sz w:val="28"/>
        </w:rPr>
        <w:t>5</w:t>
      </w:r>
      <w:r w:rsidR="003812CD" w:rsidRPr="00BD14AA">
        <w:rPr>
          <w:rFonts w:ascii="Times New Roman" w:hAnsi="Times New Roman" w:cs="Times New Roman"/>
          <w:sz w:val="28"/>
          <w:szCs w:val="28"/>
        </w:rPr>
        <w:fldChar w:fldCharType="end"/>
      </w:r>
      <w:r w:rsidR="00ED0570" w:rsidRPr="00BD14AA">
        <w:rPr>
          <w:rFonts w:ascii="Times New Roman" w:hAnsi="Times New Roman" w:cs="Times New Roman"/>
          <w:sz w:val="28"/>
          <w:szCs w:val="28"/>
        </w:rPr>
        <w:t xml:space="preserve">, </w:t>
      </w:r>
      <w:r w:rsidR="00ED0570" w:rsidRPr="00BD14AA">
        <w:rPr>
          <w:rFonts w:ascii="Times New Roman" w:hAnsi="Times New Roman" w:cs="Times New Roman"/>
          <w:sz w:val="28"/>
          <w:szCs w:val="28"/>
        </w:rPr>
        <w:fldChar w:fldCharType="begin"/>
      </w:r>
      <w:r w:rsidR="008579BC" w:rsidRPr="00BD14AA">
        <w:rPr>
          <w:rFonts w:ascii="Times New Roman" w:hAnsi="Times New Roman" w:cs="Times New Roman"/>
          <w:sz w:val="28"/>
          <w:szCs w:val="28"/>
        </w:rPr>
        <w:instrText xml:space="preserve"> ADDIN ZOTERO_ITEM CSL_CITATION {"citationID":"N2Oj1LyT","properties":{"formattedCitation":"(6)","plainCitation":"(6)","noteIndex":0},"citationItems":[{"id":95,"uris":["http://zotero.org/users/local/yCd0M2za/items/QTYH3JDP"],"itemData":{"id":95,"type":"article-journal","container-title":"International Journal of Laboratory Hematology","DOI":"10.1111/ijlh.13721","ISSN":"1751-5521, 1751-553X","issue":"1","journalAbbreviation":"Int J Lab Hematology","language":"en","page":"193-201","source":"DOI.org (Crossref)","title":"Influence of direct oral anticoagulants on thrombin generation on Ceveron TGA","volume":"44","author":[{"family":"Pfrepper","given":"Christian"},{"family":"Behrendt","given":"Lisa‐Charlott"},{"family":"Bönigk","given":"Hagen"},{"family":"Siegemund","given":"Thomas"},{"family":"Metze","given":"Michael"},{"family":"Franke","given":"Dirk"},{"family":"Petros","given":"Sirak"},{"family":"Siegemund","given":"Annelie"}],"issued":{"date-parts":[["2022",2]]}}}],"schema":"https://github.com/citation-style-language/schema/raw/master/csl-citation.json"} </w:instrText>
      </w:r>
      <w:r w:rsidR="00ED0570" w:rsidRPr="00BD14AA">
        <w:rPr>
          <w:rFonts w:ascii="Times New Roman" w:hAnsi="Times New Roman" w:cs="Times New Roman"/>
          <w:sz w:val="28"/>
          <w:szCs w:val="28"/>
        </w:rPr>
        <w:fldChar w:fldCharType="separate"/>
      </w:r>
      <w:r w:rsidR="008579BC" w:rsidRPr="00BD14AA">
        <w:rPr>
          <w:rFonts w:ascii="Times New Roman" w:hAnsi="Times New Roman" w:cs="Times New Roman"/>
          <w:sz w:val="28"/>
        </w:rPr>
        <w:t>6</w:t>
      </w:r>
      <w:r w:rsidR="00ED0570" w:rsidRPr="00BD14AA">
        <w:rPr>
          <w:rFonts w:ascii="Times New Roman" w:hAnsi="Times New Roman" w:cs="Times New Roman"/>
          <w:sz w:val="28"/>
          <w:szCs w:val="28"/>
        </w:rPr>
        <w:fldChar w:fldCharType="end"/>
      </w:r>
      <w:r w:rsidR="005D2886" w:rsidRPr="00BD14AA">
        <w:rPr>
          <w:rFonts w:ascii="Times New Roman" w:hAnsi="Times New Roman" w:cs="Times New Roman"/>
          <w:sz w:val="28"/>
          <w:szCs w:val="28"/>
        </w:rPr>
        <w:t>].</w:t>
      </w:r>
      <w:r w:rsidR="00487ED8" w:rsidRPr="00487ED8">
        <w:rPr>
          <w:rFonts w:ascii="Times New Roman" w:hAnsi="Times New Roman" w:cs="Times New Roman"/>
          <w:sz w:val="28"/>
          <w:szCs w:val="28"/>
        </w:rPr>
        <w:t xml:space="preserve"> </w:t>
      </w:r>
      <w:r w:rsidR="00487ED8" w:rsidRPr="00D73572">
        <w:rPr>
          <w:rFonts w:ascii="Times New Roman" w:hAnsi="Times New Roman" w:cs="Times New Roman"/>
          <w:sz w:val="28"/>
          <w:szCs w:val="28"/>
          <w:highlight w:val="yellow"/>
        </w:rPr>
        <w:t xml:space="preserve">При тестировании </w:t>
      </w:r>
      <w:r w:rsidR="00487ED8" w:rsidRPr="00D73572">
        <w:rPr>
          <w:rFonts w:ascii="Times New Roman" w:hAnsi="Times New Roman" w:cs="Times New Roman"/>
          <w:sz w:val="28"/>
          <w:szCs w:val="28"/>
          <w:highlight w:val="yellow"/>
          <w:lang w:val="en-US"/>
        </w:rPr>
        <w:t>PPP</w:t>
      </w:r>
      <w:r w:rsidR="00487ED8" w:rsidRPr="00D73572">
        <w:rPr>
          <w:rFonts w:ascii="Times New Roman" w:hAnsi="Times New Roman" w:cs="Times New Roman"/>
          <w:sz w:val="28"/>
          <w:szCs w:val="28"/>
          <w:highlight w:val="yellow"/>
        </w:rPr>
        <w:t xml:space="preserve"> на реактиве </w:t>
      </w:r>
      <w:r w:rsidR="00487ED8" w:rsidRPr="00D73572">
        <w:rPr>
          <w:rFonts w:ascii="Times New Roman" w:hAnsi="Times New Roman" w:cs="Times New Roman"/>
          <w:sz w:val="28"/>
          <w:szCs w:val="28"/>
          <w:highlight w:val="yellow"/>
          <w:lang w:val="en-US"/>
        </w:rPr>
        <w:t>RC</w:t>
      </w:r>
      <w:r w:rsidR="00487ED8" w:rsidRPr="00D73572">
        <w:rPr>
          <w:rFonts w:ascii="Times New Roman" w:hAnsi="Times New Roman" w:cs="Times New Roman"/>
          <w:sz w:val="28"/>
          <w:szCs w:val="28"/>
          <w:highlight w:val="yellow"/>
        </w:rPr>
        <w:t xml:space="preserve"> </w:t>
      </w:r>
      <w:r w:rsidR="00487ED8" w:rsidRPr="00D73572">
        <w:rPr>
          <w:rFonts w:ascii="Times New Roman" w:hAnsi="Times New Roman" w:cs="Times New Roman"/>
          <w:sz w:val="28"/>
          <w:szCs w:val="28"/>
          <w:highlight w:val="yellow"/>
          <w:lang w:val="en-US"/>
        </w:rPr>
        <w:t>Low</w:t>
      </w:r>
      <w:r w:rsidR="00487ED8" w:rsidRPr="00D73572">
        <w:rPr>
          <w:rFonts w:ascii="Times New Roman" w:hAnsi="Times New Roman" w:cs="Times New Roman"/>
          <w:sz w:val="28"/>
          <w:szCs w:val="28"/>
          <w:highlight w:val="yellow"/>
        </w:rPr>
        <w:t xml:space="preserve"> у 100 практически здоровых доноров производителем </w:t>
      </w:r>
      <w:r w:rsidR="00487ED8">
        <w:rPr>
          <w:rFonts w:ascii="Times New Roman" w:hAnsi="Times New Roman" w:cs="Times New Roman"/>
          <w:sz w:val="28"/>
          <w:szCs w:val="28"/>
          <w:highlight w:val="yellow"/>
        </w:rPr>
        <w:t xml:space="preserve">были определены следующие РИ: </w:t>
      </w:r>
      <w:r w:rsidR="00487ED8" w:rsidRPr="00D73572">
        <w:rPr>
          <w:rFonts w:ascii="Times New Roman" w:hAnsi="Times New Roman" w:cs="Times New Roman"/>
          <w:sz w:val="28"/>
          <w:szCs w:val="28"/>
          <w:highlight w:val="yellow"/>
          <w:lang w:val="en-US"/>
        </w:rPr>
        <w:t>Peak</w:t>
      </w:r>
      <w:r w:rsidR="00487ED8" w:rsidRPr="00D73572">
        <w:rPr>
          <w:rFonts w:ascii="Times New Roman" w:hAnsi="Times New Roman" w:cs="Times New Roman"/>
          <w:sz w:val="28"/>
          <w:szCs w:val="28"/>
          <w:highlight w:val="yellow"/>
        </w:rPr>
        <w:t xml:space="preserve"> </w:t>
      </w:r>
      <w:r w:rsidR="00487ED8" w:rsidRPr="00D73572">
        <w:rPr>
          <w:rFonts w:ascii="Times New Roman" w:hAnsi="Times New Roman" w:cs="Times New Roman"/>
          <w:sz w:val="28"/>
          <w:szCs w:val="28"/>
          <w:highlight w:val="yellow"/>
          <w:lang w:val="en-US"/>
        </w:rPr>
        <w:t>thr</w:t>
      </w:r>
      <w:r w:rsidR="00487ED8" w:rsidRPr="00D73572">
        <w:rPr>
          <w:rFonts w:ascii="Times New Roman" w:hAnsi="Times New Roman" w:cs="Times New Roman"/>
          <w:sz w:val="28"/>
          <w:szCs w:val="28"/>
          <w:highlight w:val="yellow"/>
        </w:rPr>
        <w:t>.</w:t>
      </w:r>
      <w:r w:rsidR="00487ED8">
        <w:rPr>
          <w:rFonts w:ascii="Times New Roman" w:hAnsi="Times New Roman" w:cs="Times New Roman"/>
          <w:sz w:val="28"/>
          <w:szCs w:val="28"/>
          <w:highlight w:val="yellow"/>
        </w:rPr>
        <w:t xml:space="preserve"> 84-626 нм</w:t>
      </w:r>
      <w:r w:rsidR="00487ED8" w:rsidRPr="00D73572">
        <w:rPr>
          <w:rFonts w:ascii="Times New Roman" w:hAnsi="Times New Roman" w:cs="Times New Roman"/>
          <w:sz w:val="28"/>
          <w:szCs w:val="28"/>
          <w:highlight w:val="yellow"/>
        </w:rPr>
        <w:t>оль</w:t>
      </w:r>
      <w:r w:rsidR="00487ED8">
        <w:rPr>
          <w:rFonts w:ascii="Times New Roman" w:hAnsi="Times New Roman" w:cs="Times New Roman"/>
          <w:sz w:val="28"/>
          <w:szCs w:val="28"/>
          <w:highlight w:val="yellow"/>
        </w:rPr>
        <w:t>;</w:t>
      </w:r>
      <w:r w:rsidR="00487ED8" w:rsidRPr="00D73572">
        <w:rPr>
          <w:rFonts w:ascii="Times New Roman" w:hAnsi="Times New Roman" w:cs="Times New Roman"/>
          <w:sz w:val="28"/>
          <w:szCs w:val="28"/>
          <w:highlight w:val="yellow"/>
        </w:rPr>
        <w:t xml:space="preserve"> </w:t>
      </w:r>
      <w:r w:rsidR="00487ED8" w:rsidRPr="00D73572">
        <w:rPr>
          <w:rFonts w:ascii="Times New Roman" w:hAnsi="Times New Roman" w:cs="Times New Roman"/>
          <w:sz w:val="28"/>
          <w:szCs w:val="28"/>
          <w:highlight w:val="yellow"/>
          <w:lang w:val="en-US"/>
        </w:rPr>
        <w:t>ETP</w:t>
      </w:r>
      <w:r w:rsidR="00487ED8">
        <w:rPr>
          <w:rFonts w:ascii="Times New Roman" w:hAnsi="Times New Roman" w:cs="Times New Roman"/>
          <w:sz w:val="28"/>
          <w:szCs w:val="28"/>
          <w:highlight w:val="yellow"/>
        </w:rPr>
        <w:t xml:space="preserve"> 1299-3145 нм</w:t>
      </w:r>
      <w:r w:rsidR="00487ED8" w:rsidRPr="00D73572">
        <w:rPr>
          <w:rFonts w:ascii="Times New Roman" w:hAnsi="Times New Roman" w:cs="Times New Roman"/>
          <w:sz w:val="28"/>
          <w:szCs w:val="28"/>
          <w:highlight w:val="yellow"/>
        </w:rPr>
        <w:t>оль/мин.</w:t>
      </w:r>
    </w:p>
    <w:p w14:paraId="5DC41FCB" w14:textId="6A6FAEB0" w:rsidR="002A1FA4" w:rsidRDefault="00E82E69" w:rsidP="0040071C">
      <w:pPr>
        <w:spacing w:after="0" w:line="48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ходе исследования ГТ </w:t>
      </w:r>
      <w:r>
        <w:rPr>
          <w:rFonts w:ascii="Times New Roman" w:hAnsi="Times New Roman" w:cs="Times New Roman"/>
          <w:sz w:val="28"/>
          <w:szCs w:val="28"/>
        </w:rPr>
        <w:t>с помощью встроенного программного обеспечения</w:t>
      </w:r>
      <w:r w:rsidRPr="00427C1E">
        <w:rPr>
          <w:rFonts w:ascii="Times New Roman" w:hAnsi="Times New Roman" w:cs="Times New Roman"/>
          <w:sz w:val="28"/>
          <w:szCs w:val="28"/>
        </w:rPr>
        <w:t xml:space="preserve"> </w:t>
      </w:r>
      <w:r w:rsidR="00F56158" w:rsidRPr="00427C1E">
        <w:rPr>
          <w:rFonts w:ascii="Times New Roman" w:hAnsi="Times New Roman" w:cs="Times New Roman"/>
          <w:sz w:val="28"/>
          <w:szCs w:val="28"/>
        </w:rPr>
        <w:t>р</w:t>
      </w:r>
      <w:r w:rsidR="00C10C5C" w:rsidRPr="00427C1E">
        <w:rPr>
          <w:rFonts w:ascii="Times New Roman" w:hAnsi="Times New Roman" w:cs="Times New Roman"/>
          <w:sz w:val="28"/>
          <w:szCs w:val="28"/>
        </w:rPr>
        <w:t xml:space="preserve">ассчитывались следующие показатели </w:t>
      </w:r>
      <w:r w:rsidR="007320B1">
        <w:rPr>
          <w:rFonts w:ascii="Times New Roman" w:hAnsi="Times New Roman" w:cs="Times New Roman"/>
          <w:sz w:val="28"/>
          <w:szCs w:val="28"/>
        </w:rPr>
        <w:t>тромбограммы</w:t>
      </w:r>
      <w:r w:rsidR="00C10C5C" w:rsidRPr="00427C1E">
        <w:rPr>
          <w:rFonts w:ascii="Times New Roman" w:hAnsi="Times New Roman" w:cs="Times New Roman"/>
          <w:sz w:val="28"/>
          <w:szCs w:val="28"/>
        </w:rPr>
        <w:t xml:space="preserve">: максимальная концентрация тромбина в </w:t>
      </w:r>
      <w:r w:rsidR="00487ED8">
        <w:rPr>
          <w:rFonts w:ascii="Times New Roman" w:hAnsi="Times New Roman" w:cs="Times New Roman"/>
          <w:sz w:val="28"/>
          <w:szCs w:val="28"/>
        </w:rPr>
        <w:t>образце (Peak), нмоль</w:t>
      </w:r>
      <w:r w:rsidR="00C10C5C" w:rsidRPr="00427C1E">
        <w:rPr>
          <w:rFonts w:ascii="Times New Roman" w:hAnsi="Times New Roman" w:cs="Times New Roman"/>
          <w:sz w:val="28"/>
          <w:szCs w:val="28"/>
        </w:rPr>
        <w:t>; площадь под кривой – эндогенный тромб</w:t>
      </w:r>
      <w:r w:rsidR="00487ED8">
        <w:rPr>
          <w:rFonts w:ascii="Times New Roman" w:hAnsi="Times New Roman" w:cs="Times New Roman"/>
          <w:sz w:val="28"/>
          <w:szCs w:val="28"/>
        </w:rPr>
        <w:t>иновый потенциал (ETP), нмоль/</w:t>
      </w:r>
      <w:r w:rsidR="00C10C5C" w:rsidRPr="00427C1E">
        <w:rPr>
          <w:rFonts w:ascii="Times New Roman" w:hAnsi="Times New Roman" w:cs="Times New Roman"/>
          <w:sz w:val="28"/>
          <w:szCs w:val="28"/>
        </w:rPr>
        <w:t>мин; время инициации коагуляции (LagTime), мин; время достижения пика (ttPeak), мин. Скорость образования тромбина считалась по формуле: VI = Peak/(ttPeak-LagTime</w:t>
      </w:r>
      <w:r w:rsidR="00487ED8">
        <w:rPr>
          <w:rFonts w:ascii="Times New Roman" w:hAnsi="Times New Roman" w:cs="Times New Roman"/>
          <w:sz w:val="28"/>
          <w:szCs w:val="28"/>
        </w:rPr>
        <w:t>), нмоль/</w:t>
      </w:r>
      <w:r w:rsidR="00C10C5C" w:rsidRPr="00427C1E">
        <w:rPr>
          <w:rFonts w:ascii="Times New Roman" w:hAnsi="Times New Roman" w:cs="Times New Roman"/>
          <w:sz w:val="28"/>
          <w:szCs w:val="28"/>
        </w:rPr>
        <w:t>мин [</w:t>
      </w:r>
      <w:r w:rsidR="00C10C5C" w:rsidRPr="00427C1E">
        <w:rPr>
          <w:rFonts w:ascii="Times New Roman" w:hAnsi="Times New Roman" w:cs="Times New Roman"/>
          <w:sz w:val="28"/>
          <w:szCs w:val="28"/>
        </w:rPr>
        <w:fldChar w:fldCharType="begin"/>
      </w:r>
      <w:r w:rsidR="008579BC">
        <w:rPr>
          <w:rFonts w:ascii="Times New Roman" w:hAnsi="Times New Roman" w:cs="Times New Roman"/>
          <w:sz w:val="28"/>
          <w:szCs w:val="28"/>
        </w:rPr>
        <w:instrText xml:space="preserve"> ADDIN ZOTERO_ITEM CSL_CITATION {"citationID":"QxVqki2p","properties":{"formattedCitation":"(7)","plainCitation":"(7)","noteIndex":0},"citationItems":[{"id":92,"uris":["http://zotero.org/users/local/yCd0M2za/items/B2EFVZKM"],"itemData":{"id":92,"type":"article-journal","abstract":"Abstract\n            \n              BACKGROUND\n              A gap exists between in vivo and ex vivo coagulation when investigated by use of the coagulation tests prothrombin time (PT) and activated partial thromboplastin time (APTT). The thrombin generation assay (TGA) has been developed to fill this gap.\n            \n            \n              CONTENT\n              TGA evaluates thrombin generation (resulting from the action of the procoagulant driver) and decay (resulting from the action of the anticoagulant driver), thus assessing the balance between the two. Coagulation of the test plasma (platelet poor or platelet rich) is activated by small amounts of tissue factor and phospholipids, and the reaction of thrombin generation is continuously monitored by means of a thrombin-specific fluorogenic substrate. Among the parameters derived from the thrombin-generation curve, the most important is the endogenous thrombin potential, defined as the net amount of thrombin that test plasmas can generate on the basis of the relative strength of the pro- and anticoagulant drivers. TGA is therefore the candidate assay to investigate hypo- or hypercoagulability.\n            \n            \n              SUMMARY\n              From my analysis of the literature, I draw the following conclusions. There is strong evidence that TGA is helpful to elucidate coagulation mechanisms in various clinical conditions that until recently were poorly understood (chronic liver disease; diabetes; inflammatory bowel disease, myeloproliferative neoplasms, nonalcoholic fatty liver disease). TGA is a promising laboratory tool for investigating hemorrhagic coagulopathies and monitoring replacement therapy in hemophiliacs, predicting the risk of recurrent venous thromboembolism after a first event, and monitoring patients on parenteral or oral anticoagulants. These applications require clinical trials in which TGA results are combined with specific clinical end points.","container-title":"Clinical Chemistry","DOI":"10.1373/clinchem.2015.248625","ISSN":"0009-9147, 1530-8561","issue":"5","language":"en","page":"699-707","source":"DOI.org (Crossref)","title":"Thrombin Generation Assay and Its Application in the Clinical Laboratory","volume":"62","author":[{"family":"Tripodi","given":"Armando"}],"issued":{"date-parts":[["2016",5,1]]}}}],"schema":"https://github.com/citation-style-language/schema/raw/master/csl-citation.json"} </w:instrText>
      </w:r>
      <w:r w:rsidR="00C10C5C" w:rsidRPr="00427C1E">
        <w:rPr>
          <w:rFonts w:ascii="Times New Roman" w:hAnsi="Times New Roman" w:cs="Times New Roman"/>
          <w:sz w:val="28"/>
          <w:szCs w:val="28"/>
        </w:rPr>
        <w:fldChar w:fldCharType="separate"/>
      </w:r>
      <w:r w:rsidR="00427C1E" w:rsidRPr="00427C1E">
        <w:rPr>
          <w:rFonts w:ascii="Times New Roman" w:hAnsi="Times New Roman" w:cs="Times New Roman"/>
          <w:sz w:val="28"/>
          <w:szCs w:val="28"/>
        </w:rPr>
        <w:t>7</w:t>
      </w:r>
      <w:r w:rsidR="00C10C5C" w:rsidRPr="00427C1E">
        <w:rPr>
          <w:rFonts w:ascii="Times New Roman" w:hAnsi="Times New Roman" w:cs="Times New Roman"/>
          <w:sz w:val="28"/>
          <w:szCs w:val="28"/>
        </w:rPr>
        <w:fldChar w:fldCharType="end"/>
      </w:r>
      <w:r w:rsidR="00C10C5C" w:rsidRPr="00427C1E">
        <w:rPr>
          <w:rFonts w:ascii="Times New Roman" w:hAnsi="Times New Roman" w:cs="Times New Roman"/>
          <w:sz w:val="28"/>
          <w:szCs w:val="28"/>
        </w:rPr>
        <w:t xml:space="preserve">]. Для устранения аналитической ошибки и стандартизации данных в каждой </w:t>
      </w:r>
      <w:r w:rsidR="00822A60">
        <w:rPr>
          <w:rFonts w:ascii="Times New Roman" w:hAnsi="Times New Roman" w:cs="Times New Roman"/>
          <w:sz w:val="28"/>
          <w:szCs w:val="28"/>
        </w:rPr>
        <w:t>серии</w:t>
      </w:r>
      <w:r w:rsidR="00C10C5C" w:rsidRPr="00427C1E">
        <w:rPr>
          <w:rFonts w:ascii="Times New Roman" w:hAnsi="Times New Roman" w:cs="Times New Roman"/>
          <w:sz w:val="28"/>
          <w:szCs w:val="28"/>
        </w:rPr>
        <w:t xml:space="preserve"> ставилась </w:t>
      </w:r>
      <w:r w:rsidR="007320B1" w:rsidRPr="007320B1">
        <w:rPr>
          <w:rFonts w:ascii="Times New Roman" w:hAnsi="Times New Roman" w:cs="Times New Roman"/>
          <w:sz w:val="28"/>
          <w:szCs w:val="28"/>
        </w:rPr>
        <w:t>пулир</w:t>
      </w:r>
      <w:r w:rsidR="007320B1">
        <w:rPr>
          <w:rFonts w:ascii="Times New Roman" w:hAnsi="Times New Roman" w:cs="Times New Roman"/>
          <w:sz w:val="28"/>
          <w:szCs w:val="28"/>
        </w:rPr>
        <w:t xml:space="preserve">ованная нормальная плазма (ПНП), </w:t>
      </w:r>
      <w:r w:rsidR="00C10C5C" w:rsidRPr="00427C1E">
        <w:rPr>
          <w:rFonts w:ascii="Times New Roman" w:hAnsi="Times New Roman" w:cs="Times New Roman"/>
          <w:sz w:val="28"/>
          <w:szCs w:val="28"/>
        </w:rPr>
        <w:t xml:space="preserve">полученная </w:t>
      </w:r>
      <w:r w:rsidR="00487ED8" w:rsidRPr="00E37B27">
        <w:rPr>
          <w:rFonts w:ascii="Times New Roman" w:hAnsi="Times New Roman" w:cs="Times New Roman"/>
          <w:sz w:val="28"/>
          <w:szCs w:val="28"/>
          <w:highlight w:val="yellow"/>
        </w:rPr>
        <w:t>от</w:t>
      </w:r>
      <w:r w:rsidR="00487ED8">
        <w:rPr>
          <w:rFonts w:ascii="Times New Roman" w:hAnsi="Times New Roman" w:cs="Times New Roman"/>
          <w:sz w:val="28"/>
          <w:szCs w:val="28"/>
          <w:highlight w:val="yellow"/>
        </w:rPr>
        <w:t xml:space="preserve"> </w:t>
      </w:r>
      <w:r w:rsidR="00487ED8" w:rsidRPr="00487ED8">
        <w:rPr>
          <w:rFonts w:ascii="Times New Roman" w:hAnsi="Times New Roman" w:cs="Times New Roman"/>
          <w:sz w:val="28"/>
          <w:szCs w:val="28"/>
          <w:highlight w:val="yellow"/>
        </w:rPr>
        <w:t xml:space="preserve">20 других здоровых волонтёров </w:t>
      </w:r>
      <w:r w:rsidR="00AA1779" w:rsidRPr="00487ED8">
        <w:rPr>
          <w:rFonts w:ascii="Times New Roman" w:hAnsi="Times New Roman" w:cs="Times New Roman"/>
          <w:sz w:val="28"/>
          <w:szCs w:val="28"/>
          <w:highlight w:val="yellow"/>
        </w:rPr>
        <w:t xml:space="preserve">здоровых </w:t>
      </w:r>
      <w:r w:rsidR="00C10C5C" w:rsidRPr="00AA1779">
        <w:rPr>
          <w:rFonts w:ascii="Times New Roman" w:hAnsi="Times New Roman" w:cs="Times New Roman"/>
          <w:sz w:val="28"/>
          <w:szCs w:val="28"/>
          <w:highlight w:val="yellow"/>
        </w:rPr>
        <w:t>доноров</w:t>
      </w:r>
      <w:r w:rsidR="00487ED8">
        <w:rPr>
          <w:rFonts w:ascii="Times New Roman" w:hAnsi="Times New Roman" w:cs="Times New Roman"/>
          <w:sz w:val="28"/>
          <w:szCs w:val="28"/>
          <w:highlight w:val="yellow"/>
        </w:rPr>
        <w:t xml:space="preserve"> средний возраст которых составил </w:t>
      </w:r>
      <w:r w:rsidR="00AA1779">
        <w:rPr>
          <w:rFonts w:ascii="Times New Roman" w:hAnsi="Times New Roman" w:cs="Times New Roman"/>
          <w:sz w:val="28"/>
          <w:szCs w:val="28"/>
          <w:highlight w:val="yellow"/>
        </w:rPr>
        <w:t xml:space="preserve">25 </w:t>
      </w:r>
      <w:r w:rsidR="00AA1779" w:rsidRPr="00AA1779">
        <w:rPr>
          <w:rFonts w:ascii="Times New Roman" w:hAnsi="Times New Roman" w:cs="Times New Roman"/>
          <w:sz w:val="28"/>
          <w:szCs w:val="28"/>
          <w:highlight w:val="yellow"/>
        </w:rPr>
        <w:t xml:space="preserve">[24-31] </w:t>
      </w:r>
      <w:r w:rsidR="00AA1779">
        <w:rPr>
          <w:rFonts w:ascii="Times New Roman" w:hAnsi="Times New Roman" w:cs="Times New Roman"/>
          <w:sz w:val="28"/>
          <w:szCs w:val="28"/>
          <w:highlight w:val="yellow"/>
        </w:rPr>
        <w:t>лет</w:t>
      </w:r>
      <w:r w:rsidR="00C10C5C" w:rsidRPr="00AA1779">
        <w:rPr>
          <w:rFonts w:ascii="Times New Roman" w:hAnsi="Times New Roman" w:cs="Times New Roman"/>
          <w:sz w:val="28"/>
          <w:szCs w:val="28"/>
          <w:highlight w:val="yellow"/>
        </w:rPr>
        <w:t>.</w:t>
      </w:r>
      <w:r w:rsidR="00C10C5C" w:rsidRPr="00427C1E">
        <w:rPr>
          <w:rFonts w:ascii="Times New Roman" w:hAnsi="Times New Roman" w:cs="Times New Roman"/>
          <w:sz w:val="28"/>
          <w:szCs w:val="28"/>
        </w:rPr>
        <w:t xml:space="preserve"> Согласно современным исследованиям</w:t>
      </w:r>
      <w:r w:rsidR="002A1FA4">
        <w:rPr>
          <w:rFonts w:ascii="Times New Roman" w:hAnsi="Times New Roman" w:cs="Times New Roman"/>
          <w:sz w:val="28"/>
          <w:szCs w:val="28"/>
        </w:rPr>
        <w:t>,</w:t>
      </w:r>
      <w:r w:rsidR="00C10C5C" w:rsidRPr="00427C1E">
        <w:rPr>
          <w:rFonts w:ascii="Times New Roman" w:hAnsi="Times New Roman" w:cs="Times New Roman"/>
          <w:sz w:val="28"/>
          <w:szCs w:val="28"/>
        </w:rPr>
        <w:t xml:space="preserve"> для улучшения стандартизации требуется нормализация относительно контрольной плазмы [</w:t>
      </w:r>
      <w:r w:rsidR="00C10C5C" w:rsidRPr="00427C1E">
        <w:rPr>
          <w:rFonts w:ascii="Times New Roman" w:hAnsi="Times New Roman" w:cs="Times New Roman"/>
          <w:sz w:val="28"/>
          <w:szCs w:val="28"/>
        </w:rPr>
        <w:fldChar w:fldCharType="begin"/>
      </w:r>
      <w:r w:rsidR="008579BC">
        <w:rPr>
          <w:rFonts w:ascii="Times New Roman" w:hAnsi="Times New Roman" w:cs="Times New Roman"/>
          <w:sz w:val="28"/>
          <w:szCs w:val="28"/>
        </w:rPr>
        <w:instrText xml:space="preserve"> ADDIN ZOTERO_ITEM CSL_CITATION {"citationID":"DSFQ9Ro9","properties":{"formattedCitation":"(8)","plainCitation":"(8)","noteIndex":0},"citationItems":[{"id":"MkePDU5i/f4019iKw","uris":["http://zotero.org/users/4535407/items/PJL6L4BZ"],"itemData":{"id":720,"type":"article-journal","abstract":"Determining patient's coagulation profile, i.e. detecting a bleeding tendency or the opposite, a thrombotic risk, is crucial for clinicians in many situations. Routine coagulation assays and even more specialized tests may not allow a relevant characterization of the hemostatic balance. In contrast, thrombin generation assay (TGA) is a global assay allowing the dynamic continuous and simultaneous recording of the combined effects of both thrombin generation and thrombin inactivation. TGA thus reflects the result of procoagulant and anticoagulant activities in blood and plasma. Because of this unique feature, TGA has been widely used in a wide array of settings from both research, clinical and pharmaceutical perspectives. This includes diagnosis, prognosis, prophylaxis, and treatment of inherited and acquired bleeding and thrombotic disorders. In addition, TGA has been shown to provide relevant information for the diagnosis of coagulopathies induced by infectious diseases, comprising also disturbance of the coagulation system in COVID-19, or for the assessment of early recurrence in breast cancer. This review article aims to document most clinical applications of TGA.","container-title":"Journal of thrombosis and haemostasis: JTH","DOI":"10.1111/jth.15538","ISSN":"1538-7836","issue":"12","journalAbbreviation":"J Thromb Haemost","language":"eng","note":"PMID: 34592058","page":"2918-2929","source":"PubMed","title":"Clinical use of thrombin generation assays","volume":"19","author":[{"family":"Binder","given":"Nikolaus B."},{"family":"Depasse","given":"François"},{"family":"Mueller","given":"Julia"},{"family":"Wissel","given":"Thomas"},{"family":"Schwers","given":"Stephan"},{"family":"Germer","given":"Matthias"},{"family":"Hermes","given":"Björn"},{"family":"Turecek","given":"Peter L."}],"issued":{"date-parts":[["2021",12]]}}}],"schema":"https://github.com/citation-style-language/schema/raw/master/csl-citation.json"} </w:instrText>
      </w:r>
      <w:r w:rsidR="00C10C5C" w:rsidRPr="00427C1E">
        <w:rPr>
          <w:rFonts w:ascii="Times New Roman" w:hAnsi="Times New Roman" w:cs="Times New Roman"/>
          <w:sz w:val="28"/>
          <w:szCs w:val="28"/>
        </w:rPr>
        <w:fldChar w:fldCharType="separate"/>
      </w:r>
      <w:r w:rsidR="00427C1E" w:rsidRPr="00427C1E">
        <w:rPr>
          <w:rFonts w:ascii="Times New Roman" w:hAnsi="Times New Roman" w:cs="Times New Roman"/>
          <w:sz w:val="28"/>
          <w:szCs w:val="28"/>
        </w:rPr>
        <w:t>8</w:t>
      </w:r>
      <w:r w:rsidR="00C10C5C" w:rsidRPr="00427C1E">
        <w:rPr>
          <w:rFonts w:ascii="Times New Roman" w:hAnsi="Times New Roman" w:cs="Times New Roman"/>
          <w:sz w:val="28"/>
          <w:szCs w:val="28"/>
        </w:rPr>
        <w:fldChar w:fldCharType="end"/>
      </w:r>
      <w:r w:rsidR="00310599">
        <w:rPr>
          <w:rFonts w:ascii="Times New Roman" w:hAnsi="Times New Roman" w:cs="Times New Roman"/>
          <w:sz w:val="28"/>
          <w:szCs w:val="28"/>
          <w:lang w:val="en-US"/>
        </w:rPr>
        <w:t>,</w:t>
      </w:r>
      <w:r w:rsidR="00C10C5C" w:rsidRPr="00427C1E">
        <w:rPr>
          <w:rFonts w:ascii="Times New Roman" w:hAnsi="Times New Roman" w:cs="Times New Roman"/>
          <w:sz w:val="28"/>
          <w:szCs w:val="28"/>
        </w:rPr>
        <w:t xml:space="preserve"> </w:t>
      </w:r>
      <w:r w:rsidR="00C10C5C" w:rsidRPr="00427C1E">
        <w:rPr>
          <w:rFonts w:ascii="Times New Roman" w:hAnsi="Times New Roman" w:cs="Times New Roman"/>
          <w:sz w:val="28"/>
          <w:szCs w:val="28"/>
        </w:rPr>
        <w:fldChar w:fldCharType="begin"/>
      </w:r>
      <w:r w:rsidR="008579BC">
        <w:rPr>
          <w:rFonts w:ascii="Times New Roman" w:hAnsi="Times New Roman" w:cs="Times New Roman"/>
          <w:sz w:val="28"/>
          <w:szCs w:val="28"/>
        </w:rPr>
        <w:instrText xml:space="preserve"> ADDIN ZOTERO_ITEM CSL_CITATION {"citationID":"EjOUDg3s","properties":{"formattedCitation":"(9)","plainCitation":"(9)","noteIndex":0},"citationItems":[{"id":"MkePDU5i/8bt3Msps","uris":["http://zotero.org/groups/4391357/items/ZBMZN8AK"],"itemData":{"id":837,"type":"article-journal","abstract":"BACKGROUND: Calibrated Automated Thrombography (CAT) has been widely used to assess in vitro thrombin generation as an informative intermediary phenotype of coagulation. Interlaboratory exercises have documented a worrisome poor reproducibility. There are some data on the normalisation with an appropriate external reference plasma (RP). This multicentre study of the French-speaking CAT Club aimed at providing further evidence for the usefulness of such a normalisation.\nMATERIALS AND METHODS: Lyophilised aliquots of a RP along with 3 plasmas (P1=normal; P2=hypo-; P3=hypercoagulable) were sent to 34 laboratories (corresponding to 38 instruments). CAT was studied using 1 and 5 pM tissue factor and other dedicated reagents. Normalisation with the local RP in use in the laboratory could also be performed. Interlaboratory CVs were calculated for each plasma before and after normalisation.\nRESULTS: Regarding endogenous thrombin potential, a good discrimination between the 3 plasmas was achieved in all laboratories but there was no overlap after normalisation only. CVs were generally not reduced with the use of local RP but were generally improved with normalisation using the external RP, often becoming lower than 10%. Regarding P2 however, the benefit of normalisation was poor, and there were analytical difficulties as well, some laboratories being unable to get a useable signal.\nCONCLUSIONS: We confirm that normalisation of CAT results with a suitable external RP is useful in \"real life\" practice as it often permits an acceptable level of interlaboratory variability. In case of frank hypocoagulability, further improvements are required to get reliable, potentially clinically relevant results.","container-title":"Thrombosis Research","DOI":"10.1016/j.thromres.2014.12.015","ISSN":"1879-2472","issue":"1","journalAbbreviation":"Thromb Res","language":"eng","note":"PMID: 25563679","page":"125-130","source":"PubMed","title":"Large external quality assessment survey on thrombin generation with CAT: further evidence for the usefulness of normalisation with an external reference plasma","title-short":"Large external quality assessment survey on thrombin generation with CAT","volume":"136","author":[{"family":"Perrin","given":"Julien"},{"family":"Depasse","given":"François"},{"family":"Lecompte","given":"Thomas"},{"literal":"French-speaking CAT group and under the aegis of GEHT"},{"literal":"French-speaking CAT group (all in France unless otherwise stated):"},{"literal":"French-speaking CAT group all in France unless otherwise stated"}],"issued":{"date-parts":[["2015",7]]}}}],"schema":"https://github.com/citation-style-language/schema/raw/master/csl-citation.json"} </w:instrText>
      </w:r>
      <w:r w:rsidR="00C10C5C" w:rsidRPr="00427C1E">
        <w:rPr>
          <w:rFonts w:ascii="Times New Roman" w:hAnsi="Times New Roman" w:cs="Times New Roman"/>
          <w:sz w:val="28"/>
          <w:szCs w:val="28"/>
        </w:rPr>
        <w:fldChar w:fldCharType="separate"/>
      </w:r>
      <w:r w:rsidR="00427C1E" w:rsidRPr="00427C1E">
        <w:rPr>
          <w:rFonts w:ascii="Times New Roman" w:hAnsi="Times New Roman" w:cs="Times New Roman"/>
          <w:sz w:val="28"/>
          <w:szCs w:val="28"/>
        </w:rPr>
        <w:t>9</w:t>
      </w:r>
      <w:r w:rsidR="00C10C5C" w:rsidRPr="00427C1E">
        <w:rPr>
          <w:rFonts w:ascii="Times New Roman" w:hAnsi="Times New Roman" w:cs="Times New Roman"/>
          <w:sz w:val="28"/>
          <w:szCs w:val="28"/>
        </w:rPr>
        <w:fldChar w:fldCharType="end"/>
      </w:r>
      <w:r w:rsidR="00310599" w:rsidRPr="00310599">
        <w:rPr>
          <w:rFonts w:ascii="Times New Roman" w:hAnsi="Times New Roman" w:cs="Times New Roman"/>
          <w:sz w:val="28"/>
          <w:szCs w:val="28"/>
        </w:rPr>
        <w:t>,</w:t>
      </w:r>
      <w:r w:rsidR="00C10C5C" w:rsidRPr="00427C1E">
        <w:rPr>
          <w:rFonts w:ascii="Times New Roman" w:hAnsi="Times New Roman" w:cs="Times New Roman"/>
          <w:sz w:val="28"/>
          <w:szCs w:val="28"/>
        </w:rPr>
        <w:t xml:space="preserve"> </w:t>
      </w:r>
      <w:r w:rsidR="00C10C5C" w:rsidRPr="00427C1E">
        <w:rPr>
          <w:rFonts w:ascii="Times New Roman" w:hAnsi="Times New Roman" w:cs="Times New Roman"/>
          <w:sz w:val="28"/>
          <w:szCs w:val="28"/>
        </w:rPr>
        <w:fldChar w:fldCharType="begin"/>
      </w:r>
      <w:r w:rsidR="008579BC">
        <w:rPr>
          <w:rFonts w:ascii="Times New Roman" w:hAnsi="Times New Roman" w:cs="Times New Roman"/>
          <w:sz w:val="28"/>
          <w:szCs w:val="28"/>
        </w:rPr>
        <w:instrText xml:space="preserve"> ADDIN ZOTERO_ITEM CSL_CITATION {"citationID":"12wckmpC","properties":{"formattedCitation":"(10)","plainCitation":"(10)","noteIndex":0},"citationItems":[{"id":"MkePDU5i/SjcS4srh","uris":["http://zotero.org/users/4535407/items/4RGM9UCL"],"itemData":{"id":683,"type":"article-journal","container-title":"Journal of thrombosis and haemostasis: JTH","DOI":"10.1111/jth.13743","ISSN":"1538-7836","issue":"8","journalAbbreviation":"J Thromb Haemost","language":"eng","note":"PMID: 28656617\nPMCID: PMC5680042","page":"1704-1707","source":"PubMed","title":"Proposal for standardized preanalytical and analytical conditions for measuring thrombin generation in hemophilia: communication from the SSC of the ISTH","title-short":"Proposal for standardized preanalytical and analytical conditions for measuring thrombin generation in hemophilia","volume":"15","author":[{"family":"Dargaud","given":"Y."},{"family":"Wolberg","given":"A. S."},{"family":"Gray","given":"E."},{"family":"Negrier","given":"C."},{"family":"Hemker","given":"H. C."},{"literal":"Subcommittee on Factor VIII, Factor IX, and Rare Coagulation Disorders"}],"issued":{"date-parts":[["2017",8]]}}}],"schema":"https://github.com/citation-style-language/schema/raw/master/csl-citation.json"} </w:instrText>
      </w:r>
      <w:r w:rsidR="00C10C5C" w:rsidRPr="00427C1E">
        <w:rPr>
          <w:rFonts w:ascii="Times New Roman" w:hAnsi="Times New Roman" w:cs="Times New Roman"/>
          <w:sz w:val="28"/>
          <w:szCs w:val="28"/>
        </w:rPr>
        <w:fldChar w:fldCharType="separate"/>
      </w:r>
      <w:r w:rsidR="00427C1E" w:rsidRPr="00427C1E">
        <w:rPr>
          <w:rFonts w:ascii="Times New Roman" w:hAnsi="Times New Roman" w:cs="Times New Roman"/>
          <w:sz w:val="28"/>
          <w:szCs w:val="28"/>
        </w:rPr>
        <w:t>10</w:t>
      </w:r>
      <w:r w:rsidR="00C10C5C" w:rsidRPr="00427C1E">
        <w:rPr>
          <w:rFonts w:ascii="Times New Roman" w:hAnsi="Times New Roman" w:cs="Times New Roman"/>
          <w:sz w:val="28"/>
          <w:szCs w:val="28"/>
        </w:rPr>
        <w:fldChar w:fldCharType="end"/>
      </w:r>
      <w:r w:rsidR="00C10C5C" w:rsidRPr="00427C1E">
        <w:rPr>
          <w:rFonts w:ascii="Times New Roman" w:hAnsi="Times New Roman" w:cs="Times New Roman"/>
          <w:sz w:val="28"/>
          <w:szCs w:val="28"/>
        </w:rPr>
        <w:t xml:space="preserve">], в связи с чем полученные результаты нормировались относительно </w:t>
      </w:r>
      <w:r w:rsidR="007320B1">
        <w:rPr>
          <w:rFonts w:ascii="Times New Roman" w:hAnsi="Times New Roman" w:cs="Times New Roman"/>
          <w:sz w:val="28"/>
          <w:szCs w:val="28"/>
        </w:rPr>
        <w:t>ПНП</w:t>
      </w:r>
      <w:r w:rsidR="00C10C5C" w:rsidRPr="00427C1E" w:rsidDel="00EA1F56">
        <w:rPr>
          <w:rFonts w:ascii="Times New Roman" w:hAnsi="Times New Roman" w:cs="Times New Roman"/>
          <w:sz w:val="28"/>
          <w:szCs w:val="28"/>
        </w:rPr>
        <w:t xml:space="preserve"> </w:t>
      </w:r>
      <w:r w:rsidR="00C10C5C" w:rsidRPr="00427C1E">
        <w:rPr>
          <w:rFonts w:ascii="Times New Roman" w:hAnsi="Times New Roman" w:cs="Times New Roman"/>
          <w:sz w:val="28"/>
          <w:szCs w:val="28"/>
        </w:rPr>
        <w:t>и представлены в процентах</w:t>
      </w:r>
      <w:r w:rsidR="00822A60">
        <w:rPr>
          <w:rFonts w:ascii="Times New Roman" w:hAnsi="Times New Roman" w:cs="Times New Roman"/>
          <w:sz w:val="28"/>
          <w:szCs w:val="28"/>
        </w:rPr>
        <w:t>:</w:t>
      </w:r>
      <w:r w:rsidR="002A1FA4">
        <w:rPr>
          <w:rFonts w:ascii="Times New Roman" w:hAnsi="Times New Roman" w:cs="Times New Roman"/>
          <w:sz w:val="28"/>
          <w:szCs w:val="28"/>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rPr>
              <m:t xml:space="preserve">значения показателя </m:t>
            </m:r>
            <m:r>
              <m:rPr>
                <m:sty m:val="p"/>
              </m:rPr>
              <w:rPr>
                <w:rFonts w:ascii="Cambria Math" w:hAnsi="Cambria Math" w:cs="Times New Roman"/>
                <w:sz w:val="28"/>
                <w:szCs w:val="28"/>
                <w:highlight w:val="yellow"/>
              </w:rPr>
              <m:t>донора</m:t>
            </m:r>
          </m:num>
          <m:den>
            <m:r>
              <m:rPr>
                <m:sty m:val="p"/>
              </m:rPr>
              <w:rPr>
                <w:rFonts w:ascii="Cambria Math" w:hAnsi="Cambria Math" w:cs="Times New Roman"/>
                <w:sz w:val="28"/>
                <w:szCs w:val="28"/>
              </w:rPr>
              <m:t>значения ПНП</m:t>
            </m:r>
          </m:den>
        </m:f>
        <m:r>
          <w:rPr>
            <w:rFonts w:ascii="Cambria Math" w:hAnsi="Cambria Math" w:cs="Times New Roman"/>
            <w:sz w:val="28"/>
            <w:szCs w:val="28"/>
          </w:rPr>
          <m:t>×100</m:t>
        </m:r>
      </m:oMath>
      <w:r w:rsidR="002A1FA4">
        <w:rPr>
          <w:rFonts w:ascii="Times New Roman" w:hAnsi="Times New Roman" w:cs="Times New Roman"/>
          <w:sz w:val="28"/>
          <w:szCs w:val="28"/>
        </w:rPr>
        <w:t>).</w:t>
      </w:r>
    </w:p>
    <w:p w14:paraId="48048DFB" w14:textId="535CFA84" w:rsidR="00567478" w:rsidRPr="0007329F" w:rsidRDefault="00091ABF" w:rsidP="0040071C">
      <w:pPr>
        <w:spacing w:after="0" w:line="480" w:lineRule="auto"/>
        <w:ind w:firstLine="709"/>
        <w:contextualSpacing/>
        <w:jc w:val="both"/>
        <w:rPr>
          <w:rFonts w:ascii="Times New Roman" w:hAnsi="Times New Roman" w:cs="Times New Roman"/>
          <w:i/>
          <w:sz w:val="28"/>
          <w:szCs w:val="28"/>
        </w:rPr>
      </w:pPr>
      <w:r w:rsidRPr="00427C1E">
        <w:rPr>
          <w:rFonts w:ascii="Times New Roman" w:hAnsi="Times New Roman" w:cs="Times New Roman"/>
          <w:sz w:val="28"/>
          <w:szCs w:val="28"/>
        </w:rPr>
        <w:t>Полученные</w:t>
      </w:r>
      <w:r w:rsidR="00567478" w:rsidRPr="00427C1E">
        <w:rPr>
          <w:rFonts w:ascii="Times New Roman" w:hAnsi="Times New Roman" w:cs="Times New Roman"/>
          <w:sz w:val="28"/>
          <w:szCs w:val="28"/>
        </w:rPr>
        <w:t xml:space="preserve"> данны</w:t>
      </w:r>
      <w:r w:rsidRPr="00427C1E">
        <w:rPr>
          <w:rFonts w:ascii="Times New Roman" w:hAnsi="Times New Roman" w:cs="Times New Roman"/>
          <w:sz w:val="28"/>
          <w:szCs w:val="28"/>
        </w:rPr>
        <w:t>е</w:t>
      </w:r>
      <w:r w:rsidR="00567478" w:rsidRPr="00427C1E">
        <w:rPr>
          <w:rFonts w:ascii="Times New Roman" w:hAnsi="Times New Roman" w:cs="Times New Roman"/>
          <w:sz w:val="28"/>
          <w:szCs w:val="28"/>
        </w:rPr>
        <w:t xml:space="preserve"> </w:t>
      </w:r>
      <w:r w:rsidRPr="00427C1E">
        <w:rPr>
          <w:rFonts w:ascii="Times New Roman" w:hAnsi="Times New Roman" w:cs="Times New Roman"/>
          <w:sz w:val="28"/>
          <w:szCs w:val="28"/>
        </w:rPr>
        <w:t>обрабатывались</w:t>
      </w:r>
      <w:r w:rsidR="00567478" w:rsidRPr="00427C1E">
        <w:rPr>
          <w:rFonts w:ascii="Times New Roman" w:hAnsi="Times New Roman" w:cs="Times New Roman"/>
          <w:sz w:val="28"/>
          <w:szCs w:val="28"/>
        </w:rPr>
        <w:t xml:space="preserve"> </w:t>
      </w:r>
      <w:r w:rsidRPr="00427C1E">
        <w:rPr>
          <w:rFonts w:ascii="Times New Roman" w:hAnsi="Times New Roman" w:cs="Times New Roman"/>
          <w:sz w:val="28"/>
          <w:szCs w:val="28"/>
        </w:rPr>
        <w:t>в программе</w:t>
      </w:r>
      <w:r w:rsidR="00567478" w:rsidRPr="00427C1E">
        <w:rPr>
          <w:rFonts w:ascii="Times New Roman" w:hAnsi="Times New Roman" w:cs="Times New Roman"/>
          <w:sz w:val="28"/>
          <w:szCs w:val="28"/>
        </w:rPr>
        <w:t xml:space="preserve"> </w:t>
      </w:r>
      <w:r w:rsidR="00567478" w:rsidRPr="00427C1E">
        <w:rPr>
          <w:rFonts w:ascii="Times New Roman" w:hAnsi="Times New Roman" w:cs="Times New Roman"/>
          <w:sz w:val="28"/>
          <w:szCs w:val="28"/>
          <w:lang w:val="en-US"/>
        </w:rPr>
        <w:t>Statis</w:t>
      </w:r>
      <w:r w:rsidRPr="00427C1E">
        <w:rPr>
          <w:rFonts w:ascii="Times New Roman" w:hAnsi="Times New Roman" w:cs="Times New Roman"/>
          <w:sz w:val="28"/>
          <w:szCs w:val="28"/>
          <w:lang w:val="en-US"/>
        </w:rPr>
        <w:t>tica</w:t>
      </w:r>
      <w:r w:rsidRPr="00427C1E">
        <w:rPr>
          <w:rFonts w:ascii="Times New Roman" w:hAnsi="Times New Roman" w:cs="Times New Roman"/>
          <w:sz w:val="28"/>
          <w:szCs w:val="28"/>
        </w:rPr>
        <w:t>12.0. П</w:t>
      </w:r>
      <w:r w:rsidR="00567478" w:rsidRPr="00427C1E">
        <w:rPr>
          <w:rFonts w:ascii="Times New Roman" w:hAnsi="Times New Roman" w:cs="Times New Roman"/>
          <w:sz w:val="28"/>
          <w:szCs w:val="28"/>
        </w:rPr>
        <w:t>роверк</w:t>
      </w:r>
      <w:r w:rsidRPr="00427C1E">
        <w:rPr>
          <w:rFonts w:ascii="Times New Roman" w:hAnsi="Times New Roman" w:cs="Times New Roman"/>
          <w:sz w:val="28"/>
          <w:szCs w:val="28"/>
        </w:rPr>
        <w:t>а</w:t>
      </w:r>
      <w:r w:rsidR="00567478" w:rsidRPr="00427C1E">
        <w:rPr>
          <w:rFonts w:ascii="Times New Roman" w:hAnsi="Times New Roman" w:cs="Times New Roman"/>
          <w:sz w:val="28"/>
          <w:szCs w:val="28"/>
        </w:rPr>
        <w:t xml:space="preserve"> нормальности распределения </w:t>
      </w:r>
      <w:r w:rsidRPr="00427C1E">
        <w:rPr>
          <w:rFonts w:ascii="Times New Roman" w:hAnsi="Times New Roman" w:cs="Times New Roman"/>
          <w:sz w:val="28"/>
          <w:szCs w:val="28"/>
        </w:rPr>
        <w:t>осуществлялась с помощью</w:t>
      </w:r>
      <w:r w:rsidR="00567478" w:rsidRPr="00427C1E">
        <w:rPr>
          <w:rFonts w:ascii="Times New Roman" w:hAnsi="Times New Roman" w:cs="Times New Roman"/>
          <w:sz w:val="28"/>
          <w:szCs w:val="28"/>
        </w:rPr>
        <w:t xml:space="preserve"> тест</w:t>
      </w:r>
      <w:r w:rsidRPr="00427C1E">
        <w:rPr>
          <w:rFonts w:ascii="Times New Roman" w:hAnsi="Times New Roman" w:cs="Times New Roman"/>
          <w:sz w:val="28"/>
          <w:szCs w:val="28"/>
        </w:rPr>
        <w:t>а</w:t>
      </w:r>
      <w:r w:rsidR="00567478" w:rsidRPr="00427C1E">
        <w:rPr>
          <w:rFonts w:ascii="Times New Roman" w:hAnsi="Times New Roman" w:cs="Times New Roman"/>
          <w:sz w:val="28"/>
          <w:szCs w:val="28"/>
        </w:rPr>
        <w:t xml:space="preserve"> Шапиро-Уилка. Количественные данные представлены в виде медианы, 25-й и 75-й процентилей (Me [Q1-Q3]). Коэффициент ранговой корреляции Спирмена использовался для </w:t>
      </w:r>
      <w:r w:rsidR="00567478" w:rsidRPr="00427C1E">
        <w:rPr>
          <w:rFonts w:ascii="Times New Roman" w:hAnsi="Times New Roman" w:cs="Times New Roman"/>
          <w:sz w:val="28"/>
          <w:szCs w:val="28"/>
        </w:rPr>
        <w:lastRenderedPageBreak/>
        <w:t>оценки взаимосвязи между количественными переменными.</w:t>
      </w:r>
      <w:r w:rsidR="00371155" w:rsidRPr="00427C1E">
        <w:rPr>
          <w:rFonts w:ascii="Times New Roman" w:hAnsi="Times New Roman" w:cs="Times New Roman"/>
          <w:sz w:val="28"/>
          <w:szCs w:val="28"/>
        </w:rPr>
        <w:t xml:space="preserve"> Межиндивидуальная вариабельность</w:t>
      </w:r>
      <w:r w:rsidR="004E7D4C">
        <w:rPr>
          <w:rFonts w:ascii="Times New Roman" w:hAnsi="Times New Roman" w:cs="Times New Roman"/>
          <w:sz w:val="28"/>
          <w:szCs w:val="28"/>
        </w:rPr>
        <w:t xml:space="preserve"> оценивалась по коэффициенту вариации</w:t>
      </w:r>
      <w:r w:rsidR="00371155" w:rsidRPr="00427C1E">
        <w:rPr>
          <w:rFonts w:ascii="Times New Roman" w:hAnsi="Times New Roman" w:cs="Times New Roman"/>
          <w:sz w:val="28"/>
          <w:szCs w:val="28"/>
        </w:rPr>
        <w:t xml:space="preserve"> (%</w:t>
      </w:r>
      <w:r w:rsidR="00A42275">
        <w:rPr>
          <w:rFonts w:ascii="Times New Roman" w:hAnsi="Times New Roman" w:cs="Times New Roman"/>
          <w:sz w:val="28"/>
          <w:szCs w:val="28"/>
          <w:lang w:val="en-US"/>
        </w:rPr>
        <w:t>CVG</w:t>
      </w:r>
      <w:r w:rsidR="00371155" w:rsidRPr="00427C1E">
        <w:rPr>
          <w:rFonts w:ascii="Times New Roman" w:hAnsi="Times New Roman" w:cs="Times New Roman"/>
          <w:sz w:val="28"/>
          <w:szCs w:val="28"/>
        </w:rPr>
        <w:t xml:space="preserve">) </w:t>
      </w:r>
      <w:r w:rsidR="004E7D4C">
        <w:rPr>
          <w:rFonts w:ascii="Times New Roman" w:hAnsi="Times New Roman" w:cs="Times New Roman"/>
          <w:sz w:val="28"/>
          <w:szCs w:val="28"/>
        </w:rPr>
        <w:t xml:space="preserve">и </w:t>
      </w:r>
      <w:r w:rsidR="00371155" w:rsidRPr="00427C1E">
        <w:rPr>
          <w:rFonts w:ascii="Times New Roman" w:hAnsi="Times New Roman" w:cs="Times New Roman"/>
          <w:sz w:val="28"/>
          <w:szCs w:val="28"/>
        </w:rPr>
        <w:t xml:space="preserve">рассчитывалась для каждой переменной как </w:t>
      </w:r>
      <m:oMath>
        <m:r>
          <w:rPr>
            <w:rFonts w:ascii="Cambria Math" w:hAnsi="Cambria Math" w:cs="Times New Roman"/>
            <w:sz w:val="28"/>
            <w:szCs w:val="28"/>
            <w:lang w:val="en-US"/>
          </w:rPr>
          <m:t>CVG</m:t>
        </m:r>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σ</m:t>
            </m:r>
          </m:num>
          <m:den>
            <m:r>
              <w:rPr>
                <w:rFonts w:ascii="Cambria Math" w:hAnsi="Cambria Math" w:cs="Times New Roman"/>
                <w:sz w:val="28"/>
                <w:szCs w:val="28"/>
              </w:rPr>
              <m:t>µ</m:t>
            </m:r>
          </m:den>
        </m:f>
        <m:r>
          <w:rPr>
            <w:rFonts w:ascii="Cambria Math" w:hAnsi="Cambria Math" w:cs="Times New Roman"/>
            <w:sz w:val="28"/>
            <w:szCs w:val="28"/>
          </w:rPr>
          <m:t>×100, %, где</m:t>
        </m:r>
      </m:oMath>
      <w:r w:rsidR="0007329F">
        <w:rPr>
          <w:rFonts w:ascii="Times New Roman" w:hAnsi="Times New Roman" w:cs="Times New Roman"/>
          <w:sz w:val="28"/>
          <w:szCs w:val="28"/>
        </w:rPr>
        <w:t xml:space="preserve"> σ - </w:t>
      </w:r>
      <w:r w:rsidR="00371155" w:rsidRPr="00427C1E">
        <w:rPr>
          <w:rFonts w:ascii="Times New Roman" w:hAnsi="Times New Roman" w:cs="Times New Roman"/>
          <w:sz w:val="28"/>
          <w:szCs w:val="28"/>
        </w:rPr>
        <w:t>стандартное отклонение</w:t>
      </w:r>
      <w:r w:rsidR="0007329F">
        <w:rPr>
          <w:rFonts w:ascii="Times New Roman" w:hAnsi="Times New Roman" w:cs="Times New Roman"/>
          <w:sz w:val="28"/>
          <w:szCs w:val="28"/>
        </w:rPr>
        <w:t>, µ -среднее арифметическое</w:t>
      </w:r>
      <w:r w:rsidR="00371155" w:rsidRPr="00427C1E">
        <w:rPr>
          <w:rFonts w:ascii="Times New Roman" w:hAnsi="Times New Roman" w:cs="Times New Roman"/>
          <w:sz w:val="28"/>
          <w:szCs w:val="28"/>
        </w:rPr>
        <w:t xml:space="preserve">. Референтные интервалы были рассчитаны с использованием непараметрических методов в соответствии с рекомендациями </w:t>
      </w:r>
      <w:r w:rsidR="00371155" w:rsidRPr="00427C1E">
        <w:rPr>
          <w:rFonts w:ascii="Times New Roman" w:hAnsi="Times New Roman" w:cs="Times New Roman"/>
          <w:sz w:val="28"/>
          <w:szCs w:val="28"/>
          <w:lang w:val="en-US"/>
        </w:rPr>
        <w:t>CLSI</w:t>
      </w:r>
      <w:r w:rsidR="00371155" w:rsidRPr="00427C1E">
        <w:rPr>
          <w:rFonts w:ascii="Times New Roman" w:hAnsi="Times New Roman" w:cs="Times New Roman"/>
          <w:sz w:val="28"/>
          <w:szCs w:val="28"/>
        </w:rPr>
        <w:t xml:space="preserve"> </w:t>
      </w:r>
      <w:r w:rsidR="00371155" w:rsidRPr="00427C1E">
        <w:rPr>
          <w:rFonts w:ascii="Times New Roman" w:hAnsi="Times New Roman" w:cs="Times New Roman"/>
          <w:sz w:val="28"/>
          <w:szCs w:val="28"/>
        </w:rPr>
        <w:fldChar w:fldCharType="begin"/>
      </w:r>
      <w:r w:rsidR="008579BC">
        <w:rPr>
          <w:rFonts w:ascii="Times New Roman" w:hAnsi="Times New Roman" w:cs="Times New Roman"/>
          <w:sz w:val="28"/>
          <w:szCs w:val="28"/>
        </w:rPr>
        <w:instrText xml:space="preserve"> ADDIN ZOTERO_ITEM CSL_CITATION {"citationID":"nCRUklZj","properties":{"formattedCitation":"(11)","plainCitation":"(11)","noteIndex":0},"citationItems":[{"id":"MkePDU5i/erUKGTXb","uris":["http://zotero.org/users/4535407/items/RWWILT6Y"],"itemData":{"id":848,"type":"book","collection-number":"EP28-A3c = 28,30","collection-title":"Document / Clinical and Laboratory Standards Institute","edition":"3. ed","event-place":"Wayne, Pa","ISBN":"978-1-56238-682-5","language":"en","number-of-pages":"60","publisher":"Clinical and Laboratory Standards Institute","publisher-place":"Wayne, Pa","source":"K10plus ISBN","title":"Defining, establishing and verifying reference intervals in the clinical laboratory: approved guideline","title-short":"Defining, establishing and verifying reference intervals in the clinical laboratory","editor":[{"family":"Clinical and Laboratory Standards Institute","given":""}],"issued":{"date-parts":[["2010"]]}}}],"schema":"https://github.com/citation-style-language/schema/raw/master/csl-citation.json"} </w:instrText>
      </w:r>
      <w:r w:rsidR="00371155" w:rsidRPr="00427C1E">
        <w:rPr>
          <w:rFonts w:ascii="Times New Roman" w:hAnsi="Times New Roman" w:cs="Times New Roman"/>
          <w:sz w:val="28"/>
          <w:szCs w:val="28"/>
        </w:rPr>
        <w:fldChar w:fldCharType="separate"/>
      </w:r>
      <w:r w:rsidR="00310599">
        <w:rPr>
          <w:rFonts w:ascii="Times New Roman" w:hAnsi="Times New Roman" w:cs="Times New Roman"/>
          <w:sz w:val="28"/>
          <w:szCs w:val="28"/>
        </w:rPr>
        <w:t>[</w:t>
      </w:r>
      <w:r w:rsidR="00427C1E" w:rsidRPr="00427C1E">
        <w:rPr>
          <w:rFonts w:ascii="Times New Roman" w:hAnsi="Times New Roman" w:cs="Times New Roman"/>
          <w:sz w:val="28"/>
          <w:szCs w:val="28"/>
        </w:rPr>
        <w:t>11</w:t>
      </w:r>
      <w:r w:rsidR="00310599" w:rsidRPr="00310599">
        <w:rPr>
          <w:rFonts w:ascii="Times New Roman" w:hAnsi="Times New Roman" w:cs="Times New Roman"/>
          <w:sz w:val="28"/>
          <w:szCs w:val="28"/>
        </w:rPr>
        <w:t>]</w:t>
      </w:r>
      <w:r w:rsidR="00371155" w:rsidRPr="00427C1E">
        <w:rPr>
          <w:rFonts w:ascii="Times New Roman" w:hAnsi="Times New Roman" w:cs="Times New Roman"/>
          <w:sz w:val="28"/>
          <w:szCs w:val="28"/>
        </w:rPr>
        <w:fldChar w:fldCharType="end"/>
      </w:r>
      <w:r w:rsidR="0007329F">
        <w:rPr>
          <w:rFonts w:ascii="Times New Roman" w:hAnsi="Times New Roman" w:cs="Times New Roman"/>
          <w:sz w:val="28"/>
          <w:szCs w:val="28"/>
        </w:rPr>
        <w:t>.</w:t>
      </w:r>
      <w:r w:rsidR="00371155" w:rsidRPr="00427C1E">
        <w:rPr>
          <w:rFonts w:ascii="Times New Roman" w:hAnsi="Times New Roman" w:cs="Times New Roman"/>
          <w:sz w:val="28"/>
          <w:szCs w:val="28"/>
        </w:rPr>
        <w:t xml:space="preserve"> Нижняя граница референтного интервала оценивалась как 2,5-й процентиль, а верхняя граница — как 97,5-й процентиль распределения. </w:t>
      </w:r>
      <w:r w:rsidR="00567478" w:rsidRPr="00427C1E">
        <w:rPr>
          <w:rFonts w:ascii="Times New Roman" w:hAnsi="Times New Roman" w:cs="Times New Roman"/>
          <w:sz w:val="28"/>
          <w:szCs w:val="28"/>
        </w:rPr>
        <w:t xml:space="preserve">Различия считали значимыми при </w:t>
      </w:r>
      <w:r w:rsidR="00567478" w:rsidRPr="00427C1E">
        <w:rPr>
          <w:rFonts w:ascii="Times New Roman" w:hAnsi="Times New Roman" w:cs="Times New Roman"/>
          <w:sz w:val="28"/>
          <w:szCs w:val="28"/>
          <w:lang w:val="en-US"/>
        </w:rPr>
        <w:t>p</w:t>
      </w:r>
      <w:r w:rsidR="00EA3C3A">
        <w:rPr>
          <w:rFonts w:ascii="Times New Roman" w:hAnsi="Times New Roman" w:cs="Times New Roman"/>
          <w:sz w:val="28"/>
          <w:szCs w:val="28"/>
        </w:rPr>
        <w:t>&lt;</w:t>
      </w:r>
      <w:r w:rsidR="00567478" w:rsidRPr="00427C1E">
        <w:rPr>
          <w:rFonts w:ascii="Times New Roman" w:hAnsi="Times New Roman" w:cs="Times New Roman"/>
          <w:sz w:val="28"/>
          <w:szCs w:val="28"/>
        </w:rPr>
        <w:t>0,05.</w:t>
      </w:r>
    </w:p>
    <w:p w14:paraId="71C7AADA" w14:textId="59D0A88D" w:rsidR="00156F8F" w:rsidRDefault="00156F8F" w:rsidP="0040071C">
      <w:pPr>
        <w:spacing w:after="0" w:line="480" w:lineRule="auto"/>
        <w:ind w:firstLine="709"/>
        <w:contextualSpacing/>
        <w:jc w:val="both"/>
        <w:rPr>
          <w:rFonts w:ascii="Times New Roman" w:hAnsi="Times New Roman" w:cs="Times New Roman"/>
          <w:b/>
          <w:sz w:val="28"/>
          <w:szCs w:val="28"/>
        </w:rPr>
      </w:pPr>
      <w:r w:rsidRPr="00427C1E">
        <w:rPr>
          <w:rFonts w:ascii="Times New Roman" w:hAnsi="Times New Roman" w:cs="Times New Roman"/>
          <w:b/>
          <w:sz w:val="28"/>
          <w:szCs w:val="28"/>
        </w:rPr>
        <w:t>Полученные результаты</w:t>
      </w:r>
    </w:p>
    <w:p w14:paraId="0216E596" w14:textId="21B2762A" w:rsidR="00822A60" w:rsidRPr="00822A60" w:rsidRDefault="00274E6B" w:rsidP="00773308">
      <w:pPr>
        <w:spacing w:after="0" w:line="480" w:lineRule="auto"/>
        <w:ind w:firstLine="709"/>
        <w:contextualSpacing/>
        <w:jc w:val="both"/>
        <w:rPr>
          <w:rFonts w:ascii="Times New Roman" w:hAnsi="Times New Roman" w:cs="Times New Roman"/>
          <w:sz w:val="28"/>
          <w:szCs w:val="28"/>
          <w:highlight w:val="cyan"/>
        </w:rPr>
      </w:pPr>
      <w:r w:rsidRPr="00BD14AA">
        <w:rPr>
          <w:rFonts w:ascii="Times New Roman" w:hAnsi="Times New Roman" w:cs="Times New Roman"/>
          <w:sz w:val="28"/>
          <w:szCs w:val="28"/>
        </w:rPr>
        <w:t>Результаты сравнения колич</w:t>
      </w:r>
      <w:r w:rsidR="00AC1FB6" w:rsidRPr="00BD14AA">
        <w:rPr>
          <w:rFonts w:ascii="Times New Roman" w:hAnsi="Times New Roman" w:cs="Times New Roman"/>
          <w:sz w:val="28"/>
          <w:szCs w:val="28"/>
        </w:rPr>
        <w:t xml:space="preserve">ественных и временных параметров ТГТ, </w:t>
      </w:r>
      <w:r w:rsidR="00AC1FB6" w:rsidRPr="00822A60">
        <w:rPr>
          <w:rFonts w:ascii="Times New Roman" w:hAnsi="Times New Roman" w:cs="Times New Roman"/>
          <w:sz w:val="28"/>
          <w:szCs w:val="28"/>
        </w:rPr>
        <w:t xml:space="preserve">выполненного двумя технологиями, а также </w:t>
      </w:r>
      <w:r w:rsidR="00A42275" w:rsidRPr="00822A60">
        <w:rPr>
          <w:rFonts w:ascii="Times New Roman" w:hAnsi="Times New Roman" w:cs="Times New Roman"/>
          <w:sz w:val="28"/>
          <w:szCs w:val="28"/>
          <w:lang w:val="en-US"/>
        </w:rPr>
        <w:t>CVG</w:t>
      </w:r>
      <w:r w:rsidR="00AC1FB6" w:rsidRPr="00822A60">
        <w:rPr>
          <w:rFonts w:ascii="Times New Roman" w:hAnsi="Times New Roman" w:cs="Times New Roman"/>
          <w:sz w:val="28"/>
          <w:szCs w:val="28"/>
        </w:rPr>
        <w:t>, представлены в таблице 1.</w:t>
      </w:r>
      <w:r w:rsidRPr="00822A60">
        <w:rPr>
          <w:rFonts w:ascii="Times New Roman" w:hAnsi="Times New Roman" w:cs="Times New Roman"/>
          <w:sz w:val="28"/>
          <w:szCs w:val="28"/>
        </w:rPr>
        <w:t xml:space="preserve"> </w:t>
      </w:r>
    </w:p>
    <w:p w14:paraId="7C64F83D" w14:textId="795B73D8" w:rsidR="00EF2837" w:rsidRDefault="00822A60" w:rsidP="00822A60">
      <w:pPr>
        <w:spacing w:after="0" w:line="480" w:lineRule="auto"/>
        <w:ind w:firstLine="708"/>
        <w:contextualSpacing/>
        <w:jc w:val="both"/>
        <w:rPr>
          <w:rFonts w:ascii="Times New Roman" w:hAnsi="Times New Roman" w:cs="Times New Roman"/>
          <w:sz w:val="28"/>
          <w:szCs w:val="28"/>
        </w:rPr>
      </w:pPr>
      <w:r w:rsidRPr="0043797C">
        <w:rPr>
          <w:rFonts w:ascii="Times New Roman" w:hAnsi="Times New Roman" w:cs="Times New Roman"/>
          <w:sz w:val="28"/>
          <w:szCs w:val="28"/>
        </w:rPr>
        <w:t xml:space="preserve">Параметры тромбограммы показали </w:t>
      </w:r>
      <w:r>
        <w:rPr>
          <w:rFonts w:ascii="Times New Roman" w:hAnsi="Times New Roman" w:cs="Times New Roman"/>
          <w:sz w:val="28"/>
          <w:szCs w:val="28"/>
        </w:rPr>
        <w:t>высокую</w:t>
      </w:r>
      <w:r w:rsidRPr="0043797C">
        <w:rPr>
          <w:rFonts w:ascii="Times New Roman" w:hAnsi="Times New Roman" w:cs="Times New Roman"/>
          <w:sz w:val="28"/>
          <w:szCs w:val="28"/>
        </w:rPr>
        <w:t xml:space="preserve"> межиндивидуальную вариабельность, а коэффициенты вариации </w:t>
      </w:r>
      <w:r w:rsidR="00610EC9">
        <w:rPr>
          <w:rFonts w:ascii="Times New Roman" w:hAnsi="Times New Roman" w:cs="Times New Roman"/>
          <w:sz w:val="28"/>
          <w:szCs w:val="28"/>
        </w:rPr>
        <w:t>находились в пределах</w:t>
      </w:r>
      <w:r w:rsidR="00610EC9" w:rsidRPr="0043797C">
        <w:rPr>
          <w:rFonts w:ascii="Times New Roman" w:hAnsi="Times New Roman" w:cs="Times New Roman"/>
          <w:sz w:val="28"/>
          <w:szCs w:val="28"/>
        </w:rPr>
        <w:t xml:space="preserve"> </w:t>
      </w:r>
      <w:r w:rsidRPr="0043797C">
        <w:rPr>
          <w:rFonts w:ascii="Times New Roman" w:hAnsi="Times New Roman" w:cs="Times New Roman"/>
          <w:sz w:val="28"/>
          <w:szCs w:val="28"/>
        </w:rPr>
        <w:t xml:space="preserve">от </w:t>
      </w:r>
      <w:r>
        <w:rPr>
          <w:rFonts w:ascii="Times New Roman" w:hAnsi="Times New Roman" w:cs="Times New Roman"/>
          <w:sz w:val="28"/>
          <w:szCs w:val="28"/>
        </w:rPr>
        <w:t xml:space="preserve">14 до 32% </w:t>
      </w:r>
      <w:r w:rsidR="00487ED8">
        <w:rPr>
          <w:rFonts w:ascii="Times New Roman" w:hAnsi="Times New Roman" w:cs="Times New Roman"/>
          <w:sz w:val="28"/>
          <w:szCs w:val="28"/>
        </w:rPr>
        <w:t>в</w:t>
      </w:r>
      <w:r w:rsidRPr="00485DE7">
        <w:rPr>
          <w:rFonts w:ascii="Times New Roman" w:hAnsi="Times New Roman" w:cs="Times New Roman"/>
          <w:sz w:val="28"/>
          <w:szCs w:val="28"/>
        </w:rPr>
        <w:t xml:space="preserve"> </w:t>
      </w:r>
      <w:r w:rsidR="00487ED8">
        <w:rPr>
          <w:rFonts w:ascii="Times New Roman" w:hAnsi="Times New Roman" w:cs="Times New Roman"/>
          <w:sz w:val="28"/>
          <w:szCs w:val="28"/>
        </w:rPr>
        <w:t xml:space="preserve">Технологии 1 </w:t>
      </w:r>
      <w:r w:rsidRPr="00485DE7">
        <w:rPr>
          <w:rFonts w:ascii="Times New Roman" w:hAnsi="Times New Roman" w:cs="Times New Roman"/>
          <w:sz w:val="28"/>
          <w:szCs w:val="28"/>
        </w:rPr>
        <w:t>и от 7</w:t>
      </w:r>
      <w:r w:rsidR="00487ED8">
        <w:rPr>
          <w:rFonts w:ascii="Times New Roman" w:hAnsi="Times New Roman" w:cs="Times New Roman"/>
          <w:sz w:val="28"/>
          <w:szCs w:val="28"/>
        </w:rPr>
        <w:t xml:space="preserve"> до 36%</w:t>
      </w:r>
      <w:r>
        <w:rPr>
          <w:rFonts w:ascii="Times New Roman" w:hAnsi="Times New Roman" w:cs="Times New Roman"/>
          <w:sz w:val="28"/>
          <w:szCs w:val="28"/>
        </w:rPr>
        <w:t xml:space="preserve"> </w:t>
      </w:r>
      <w:r w:rsidR="00610EC9">
        <w:rPr>
          <w:rFonts w:ascii="Times New Roman" w:hAnsi="Times New Roman" w:cs="Times New Roman"/>
          <w:sz w:val="28"/>
          <w:szCs w:val="28"/>
        </w:rPr>
        <w:t>в Технологии 2</w:t>
      </w:r>
      <w:r>
        <w:rPr>
          <w:rFonts w:ascii="Times New Roman" w:hAnsi="Times New Roman" w:cs="Times New Roman"/>
          <w:sz w:val="28"/>
          <w:szCs w:val="28"/>
        </w:rPr>
        <w:t xml:space="preserve">. </w:t>
      </w:r>
      <w:r w:rsidR="00EF2837">
        <w:rPr>
          <w:rFonts w:ascii="Times New Roman" w:hAnsi="Times New Roman" w:cs="Times New Roman"/>
          <w:sz w:val="28"/>
          <w:szCs w:val="28"/>
        </w:rPr>
        <w:t xml:space="preserve">Так, </w:t>
      </w:r>
      <w:r w:rsidR="00EF2837">
        <w:rPr>
          <w:rFonts w:ascii="Times New Roman" w:hAnsi="Times New Roman" w:cs="Times New Roman"/>
          <w:sz w:val="28"/>
          <w:szCs w:val="28"/>
          <w:lang w:val="en-US"/>
        </w:rPr>
        <w:t>CVG</w:t>
      </w:r>
      <w:r w:rsidR="00EF2837" w:rsidRPr="00EF2837">
        <w:rPr>
          <w:rFonts w:ascii="Times New Roman" w:hAnsi="Times New Roman" w:cs="Times New Roman"/>
          <w:sz w:val="28"/>
          <w:szCs w:val="28"/>
        </w:rPr>
        <w:t xml:space="preserve"> </w:t>
      </w:r>
      <w:r w:rsidR="00EF2837">
        <w:rPr>
          <w:rFonts w:ascii="Times New Roman" w:hAnsi="Times New Roman" w:cs="Times New Roman"/>
          <w:sz w:val="28"/>
          <w:szCs w:val="28"/>
        </w:rPr>
        <w:t xml:space="preserve">для показателя </w:t>
      </w:r>
      <w:r w:rsidR="00EF2837">
        <w:rPr>
          <w:rFonts w:ascii="Times New Roman" w:hAnsi="Times New Roman" w:cs="Times New Roman"/>
          <w:sz w:val="28"/>
          <w:szCs w:val="28"/>
          <w:lang w:val="en-US"/>
        </w:rPr>
        <w:t>LT</w:t>
      </w:r>
      <w:r w:rsidR="00EF2837" w:rsidRPr="00EF2837">
        <w:rPr>
          <w:rFonts w:ascii="Times New Roman" w:hAnsi="Times New Roman" w:cs="Times New Roman"/>
          <w:sz w:val="28"/>
          <w:szCs w:val="28"/>
        </w:rPr>
        <w:t xml:space="preserve"> </w:t>
      </w:r>
      <w:r w:rsidR="00EF2837">
        <w:rPr>
          <w:rFonts w:ascii="Times New Roman" w:hAnsi="Times New Roman" w:cs="Times New Roman"/>
          <w:sz w:val="28"/>
          <w:szCs w:val="28"/>
        </w:rPr>
        <w:t xml:space="preserve">составил </w:t>
      </w:r>
      <w:r w:rsidR="00EF2837" w:rsidRPr="00EF2837">
        <w:rPr>
          <w:rFonts w:ascii="Times New Roman" w:hAnsi="Times New Roman" w:cs="Times New Roman"/>
          <w:sz w:val="28"/>
          <w:szCs w:val="28"/>
        </w:rPr>
        <w:t>18,45</w:t>
      </w:r>
      <w:r w:rsidR="00EF2837">
        <w:rPr>
          <w:rFonts w:ascii="Times New Roman" w:hAnsi="Times New Roman" w:cs="Times New Roman"/>
          <w:sz w:val="28"/>
          <w:szCs w:val="28"/>
        </w:rPr>
        <w:t xml:space="preserve">% на приборе </w:t>
      </w:r>
      <w:r w:rsidR="00EF2837">
        <w:rPr>
          <w:rFonts w:ascii="Times New Roman" w:hAnsi="Times New Roman" w:cs="Times New Roman"/>
          <w:sz w:val="28"/>
          <w:szCs w:val="28"/>
          <w:lang w:val="en-US"/>
        </w:rPr>
        <w:t>Fluoroscan</w:t>
      </w:r>
      <w:r w:rsidR="00EF2837" w:rsidRPr="00EF2837">
        <w:rPr>
          <w:rFonts w:ascii="Times New Roman" w:hAnsi="Times New Roman" w:cs="Times New Roman"/>
          <w:sz w:val="28"/>
          <w:szCs w:val="28"/>
        </w:rPr>
        <w:t xml:space="preserve"> </w:t>
      </w:r>
      <w:r w:rsidR="00EF2837">
        <w:rPr>
          <w:rFonts w:ascii="Times New Roman" w:hAnsi="Times New Roman" w:cs="Times New Roman"/>
          <w:sz w:val="28"/>
          <w:szCs w:val="28"/>
          <w:lang w:val="en-US"/>
        </w:rPr>
        <w:t>Ascent</w:t>
      </w:r>
      <w:r w:rsidR="00EF2837" w:rsidRPr="00EF2837">
        <w:rPr>
          <w:rFonts w:ascii="Times New Roman" w:hAnsi="Times New Roman" w:cs="Times New Roman"/>
          <w:sz w:val="28"/>
          <w:szCs w:val="28"/>
        </w:rPr>
        <w:t xml:space="preserve"> </w:t>
      </w:r>
      <w:r w:rsidR="00487ED8">
        <w:rPr>
          <w:rFonts w:ascii="Times New Roman" w:hAnsi="Times New Roman" w:cs="Times New Roman"/>
          <w:sz w:val="28"/>
          <w:szCs w:val="28"/>
        </w:rPr>
        <w:t xml:space="preserve">(Технология 1) </w:t>
      </w:r>
      <w:r w:rsidR="00EF2837">
        <w:rPr>
          <w:rFonts w:ascii="Times New Roman" w:hAnsi="Times New Roman" w:cs="Times New Roman"/>
          <w:sz w:val="28"/>
          <w:szCs w:val="28"/>
        </w:rPr>
        <w:t xml:space="preserve">и </w:t>
      </w:r>
      <w:r w:rsidR="00EF2837" w:rsidRPr="00EF2837">
        <w:rPr>
          <w:rFonts w:ascii="Times New Roman" w:hAnsi="Times New Roman" w:cs="Times New Roman"/>
          <w:sz w:val="28"/>
          <w:szCs w:val="28"/>
        </w:rPr>
        <w:t>18,19</w:t>
      </w:r>
      <w:r w:rsidR="00EF2837">
        <w:rPr>
          <w:rFonts w:ascii="Times New Roman" w:hAnsi="Times New Roman" w:cs="Times New Roman"/>
          <w:sz w:val="28"/>
          <w:szCs w:val="28"/>
        </w:rPr>
        <w:t xml:space="preserve">% на коагулометре </w:t>
      </w:r>
      <w:r w:rsidR="00EF2837">
        <w:rPr>
          <w:rFonts w:ascii="Times New Roman" w:hAnsi="Times New Roman" w:cs="Times New Roman"/>
          <w:sz w:val="28"/>
          <w:szCs w:val="28"/>
          <w:lang w:val="en-US"/>
        </w:rPr>
        <w:t>Ceveron</w:t>
      </w:r>
      <w:r w:rsidR="00EF2837" w:rsidRPr="00EF2837">
        <w:rPr>
          <w:rFonts w:ascii="Times New Roman" w:hAnsi="Times New Roman" w:cs="Times New Roman"/>
          <w:sz w:val="28"/>
          <w:szCs w:val="28"/>
        </w:rPr>
        <w:t xml:space="preserve"> </w:t>
      </w:r>
      <w:r w:rsidR="00EF2837">
        <w:rPr>
          <w:rFonts w:ascii="Times New Roman" w:hAnsi="Times New Roman" w:cs="Times New Roman"/>
          <w:sz w:val="28"/>
          <w:szCs w:val="28"/>
          <w:lang w:val="en-US"/>
        </w:rPr>
        <w:t>Alfa</w:t>
      </w:r>
      <w:r w:rsidR="00877B21">
        <w:rPr>
          <w:rFonts w:ascii="Times New Roman" w:hAnsi="Times New Roman" w:cs="Times New Roman"/>
          <w:sz w:val="28"/>
          <w:szCs w:val="28"/>
        </w:rPr>
        <w:t xml:space="preserve"> (Технологии 2)</w:t>
      </w:r>
      <w:r w:rsidR="00EF2837" w:rsidRPr="00EF2837">
        <w:rPr>
          <w:rFonts w:ascii="Times New Roman" w:hAnsi="Times New Roman" w:cs="Times New Roman"/>
          <w:sz w:val="28"/>
          <w:szCs w:val="28"/>
        </w:rPr>
        <w:t xml:space="preserve">. </w:t>
      </w:r>
      <w:r w:rsidR="006524C2">
        <w:rPr>
          <w:rFonts w:ascii="Times New Roman" w:hAnsi="Times New Roman" w:cs="Times New Roman"/>
          <w:sz w:val="28"/>
          <w:szCs w:val="28"/>
        </w:rPr>
        <w:t xml:space="preserve">Коэффициенты вариации показателей </w:t>
      </w:r>
      <w:r w:rsidR="006524C2">
        <w:rPr>
          <w:rFonts w:ascii="Times New Roman" w:hAnsi="Times New Roman" w:cs="Times New Roman"/>
          <w:sz w:val="28"/>
          <w:szCs w:val="28"/>
          <w:lang w:val="en-US"/>
        </w:rPr>
        <w:t>Peak</w:t>
      </w:r>
      <w:r w:rsidR="006524C2" w:rsidRPr="006524C2">
        <w:rPr>
          <w:rFonts w:ascii="Times New Roman" w:hAnsi="Times New Roman" w:cs="Times New Roman"/>
          <w:sz w:val="28"/>
          <w:szCs w:val="28"/>
        </w:rPr>
        <w:t xml:space="preserve"> </w:t>
      </w:r>
      <w:r w:rsidR="006524C2">
        <w:rPr>
          <w:rFonts w:ascii="Times New Roman" w:hAnsi="Times New Roman" w:cs="Times New Roman"/>
          <w:sz w:val="28"/>
          <w:szCs w:val="28"/>
          <w:lang w:val="en-US"/>
        </w:rPr>
        <w:t>thr</w:t>
      </w:r>
      <w:r w:rsidR="006524C2" w:rsidRPr="006524C2">
        <w:rPr>
          <w:rFonts w:ascii="Times New Roman" w:hAnsi="Times New Roman" w:cs="Times New Roman"/>
          <w:sz w:val="28"/>
          <w:szCs w:val="28"/>
        </w:rPr>
        <w:t xml:space="preserve">. </w:t>
      </w:r>
      <w:r w:rsidR="006524C2">
        <w:rPr>
          <w:rFonts w:ascii="Times New Roman" w:hAnsi="Times New Roman" w:cs="Times New Roman"/>
          <w:sz w:val="28"/>
          <w:szCs w:val="28"/>
        </w:rPr>
        <w:t xml:space="preserve">и </w:t>
      </w:r>
      <w:r w:rsidR="006524C2">
        <w:rPr>
          <w:rFonts w:ascii="Times New Roman" w:hAnsi="Times New Roman" w:cs="Times New Roman"/>
          <w:sz w:val="28"/>
          <w:szCs w:val="28"/>
          <w:lang w:val="en-US"/>
        </w:rPr>
        <w:t>ttPeak</w:t>
      </w:r>
      <w:r w:rsidR="006524C2" w:rsidRPr="006524C2">
        <w:rPr>
          <w:rFonts w:ascii="Times New Roman" w:hAnsi="Times New Roman" w:cs="Times New Roman"/>
          <w:sz w:val="28"/>
          <w:szCs w:val="28"/>
        </w:rPr>
        <w:t xml:space="preserve"> </w:t>
      </w:r>
      <w:r w:rsidR="006524C2">
        <w:rPr>
          <w:rFonts w:ascii="Times New Roman" w:hAnsi="Times New Roman" w:cs="Times New Roman"/>
          <w:sz w:val="28"/>
          <w:szCs w:val="28"/>
        </w:rPr>
        <w:t>были</w:t>
      </w:r>
      <w:r w:rsidR="00871B11">
        <w:rPr>
          <w:rFonts w:ascii="Times New Roman" w:hAnsi="Times New Roman" w:cs="Times New Roman"/>
          <w:sz w:val="28"/>
          <w:szCs w:val="28"/>
        </w:rPr>
        <w:t xml:space="preserve"> </w:t>
      </w:r>
      <w:r w:rsidR="006524C2">
        <w:rPr>
          <w:rFonts w:ascii="Times New Roman" w:hAnsi="Times New Roman" w:cs="Times New Roman"/>
          <w:sz w:val="28"/>
          <w:szCs w:val="28"/>
        </w:rPr>
        <w:t>ниже в Технологии 1 (</w:t>
      </w:r>
      <w:r w:rsidR="006524C2" w:rsidRPr="00EF2837">
        <w:rPr>
          <w:rFonts w:ascii="Times New Roman" w:hAnsi="Times New Roman" w:cs="Times New Roman"/>
          <w:sz w:val="28"/>
          <w:szCs w:val="28"/>
        </w:rPr>
        <w:t>15,74</w:t>
      </w:r>
      <w:r w:rsidR="006524C2">
        <w:rPr>
          <w:rFonts w:ascii="Times New Roman" w:hAnsi="Times New Roman" w:cs="Times New Roman"/>
          <w:sz w:val="28"/>
          <w:szCs w:val="28"/>
        </w:rPr>
        <w:t xml:space="preserve">% и </w:t>
      </w:r>
      <w:r w:rsidR="006524C2" w:rsidRPr="00EF2837">
        <w:rPr>
          <w:rFonts w:ascii="Times New Roman" w:hAnsi="Times New Roman" w:cs="Times New Roman"/>
          <w:sz w:val="28"/>
          <w:szCs w:val="28"/>
        </w:rPr>
        <w:t>14,35</w:t>
      </w:r>
      <w:r w:rsidR="006524C2">
        <w:rPr>
          <w:rFonts w:ascii="Times New Roman" w:hAnsi="Times New Roman" w:cs="Times New Roman"/>
          <w:sz w:val="28"/>
          <w:szCs w:val="28"/>
        </w:rPr>
        <w:t>% соответственно), чем в Технологии 2 (</w:t>
      </w:r>
      <w:r w:rsidR="006524C2" w:rsidRPr="00EF2837">
        <w:rPr>
          <w:rFonts w:ascii="Times New Roman" w:hAnsi="Times New Roman" w:cs="Times New Roman"/>
          <w:sz w:val="28"/>
          <w:szCs w:val="28"/>
        </w:rPr>
        <w:t>20,68</w:t>
      </w:r>
      <w:r w:rsidR="006524C2">
        <w:rPr>
          <w:rFonts w:ascii="Times New Roman" w:hAnsi="Times New Roman" w:cs="Times New Roman"/>
          <w:sz w:val="28"/>
          <w:szCs w:val="28"/>
        </w:rPr>
        <w:t xml:space="preserve">% и </w:t>
      </w:r>
      <w:r w:rsidR="006524C2" w:rsidRPr="00EF2837">
        <w:rPr>
          <w:rFonts w:ascii="Times New Roman" w:hAnsi="Times New Roman" w:cs="Times New Roman"/>
          <w:sz w:val="28"/>
          <w:szCs w:val="28"/>
        </w:rPr>
        <w:t>18,14</w:t>
      </w:r>
      <w:r w:rsidR="006524C2">
        <w:rPr>
          <w:rFonts w:ascii="Times New Roman" w:hAnsi="Times New Roman" w:cs="Times New Roman"/>
          <w:sz w:val="28"/>
          <w:szCs w:val="28"/>
        </w:rPr>
        <w:t xml:space="preserve">% соответственно). </w:t>
      </w:r>
      <w:r w:rsidR="00EF2837">
        <w:rPr>
          <w:rFonts w:ascii="Times New Roman" w:hAnsi="Times New Roman" w:cs="Times New Roman"/>
          <w:sz w:val="28"/>
          <w:szCs w:val="28"/>
        </w:rPr>
        <w:t xml:space="preserve">Значимое различие </w:t>
      </w:r>
      <w:r w:rsidR="006524C2">
        <w:rPr>
          <w:rFonts w:ascii="Times New Roman" w:hAnsi="Times New Roman" w:cs="Times New Roman"/>
          <w:sz w:val="28"/>
          <w:szCs w:val="28"/>
          <w:lang w:val="en-US"/>
        </w:rPr>
        <w:t>CVG</w:t>
      </w:r>
      <w:r w:rsidR="006524C2">
        <w:rPr>
          <w:rFonts w:ascii="Times New Roman" w:hAnsi="Times New Roman" w:cs="Times New Roman"/>
          <w:sz w:val="28"/>
          <w:szCs w:val="28"/>
        </w:rPr>
        <w:t xml:space="preserve"> двух технологи</w:t>
      </w:r>
      <w:r w:rsidR="004D6A23">
        <w:rPr>
          <w:rFonts w:ascii="Times New Roman" w:hAnsi="Times New Roman" w:cs="Times New Roman"/>
          <w:sz w:val="28"/>
          <w:szCs w:val="28"/>
        </w:rPr>
        <w:t>й наблюдалось по показателю ЕТР. Коэффициент вариации</w:t>
      </w:r>
      <w:r w:rsidR="006524C2">
        <w:rPr>
          <w:rFonts w:ascii="Times New Roman" w:hAnsi="Times New Roman" w:cs="Times New Roman"/>
          <w:sz w:val="28"/>
          <w:szCs w:val="28"/>
        </w:rPr>
        <w:t xml:space="preserve"> </w:t>
      </w:r>
      <w:r w:rsidR="004D6A23" w:rsidRPr="004D6A23">
        <w:rPr>
          <w:rFonts w:ascii="Times New Roman" w:hAnsi="Times New Roman" w:cs="Times New Roman"/>
          <w:color w:val="000000"/>
          <w:sz w:val="28"/>
          <w:szCs w:val="24"/>
          <w:shd w:val="clear" w:color="auto" w:fill="FFFFFF"/>
        </w:rPr>
        <w:t xml:space="preserve">показателя ЕТР </w:t>
      </w:r>
      <w:r w:rsidR="00877B21">
        <w:rPr>
          <w:rFonts w:ascii="Times New Roman" w:hAnsi="Times New Roman" w:cs="Times New Roman"/>
          <w:color w:val="000000"/>
          <w:sz w:val="28"/>
          <w:szCs w:val="24"/>
          <w:shd w:val="clear" w:color="auto" w:fill="FFFFFF"/>
        </w:rPr>
        <w:t xml:space="preserve">в </w:t>
      </w:r>
      <w:r w:rsidR="00877B21">
        <w:rPr>
          <w:rFonts w:ascii="Times New Roman" w:hAnsi="Times New Roman" w:cs="Times New Roman"/>
          <w:sz w:val="28"/>
          <w:szCs w:val="28"/>
        </w:rPr>
        <w:t>Технологии 2</w:t>
      </w:r>
      <w:r w:rsidR="00877B21">
        <w:rPr>
          <w:rFonts w:ascii="Times New Roman" w:hAnsi="Times New Roman" w:cs="Times New Roman"/>
          <w:color w:val="000000"/>
          <w:sz w:val="28"/>
          <w:szCs w:val="24"/>
          <w:shd w:val="clear" w:color="auto" w:fill="FFFFFF"/>
        </w:rPr>
        <w:t xml:space="preserve"> </w:t>
      </w:r>
      <w:r w:rsidR="004D6A23">
        <w:rPr>
          <w:rFonts w:ascii="Times New Roman" w:hAnsi="Times New Roman" w:cs="Times New Roman"/>
          <w:color w:val="000000"/>
          <w:sz w:val="28"/>
          <w:szCs w:val="24"/>
          <w:shd w:val="clear" w:color="auto" w:fill="FFFFFF"/>
        </w:rPr>
        <w:t>(</w:t>
      </w:r>
      <w:r w:rsidR="004D6A23" w:rsidRPr="00EF2837">
        <w:rPr>
          <w:rFonts w:ascii="Times New Roman" w:hAnsi="Times New Roman" w:cs="Times New Roman"/>
          <w:sz w:val="28"/>
          <w:szCs w:val="28"/>
        </w:rPr>
        <w:t>7,1</w:t>
      </w:r>
      <w:r w:rsidR="004D6A23">
        <w:rPr>
          <w:rFonts w:ascii="Times New Roman" w:hAnsi="Times New Roman" w:cs="Times New Roman"/>
          <w:sz w:val="28"/>
          <w:szCs w:val="28"/>
        </w:rPr>
        <w:t xml:space="preserve">%) </w:t>
      </w:r>
      <w:r w:rsidR="004D6A23" w:rsidRPr="004D6A23">
        <w:rPr>
          <w:rFonts w:ascii="Times New Roman" w:hAnsi="Times New Roman" w:cs="Times New Roman"/>
          <w:color w:val="000000"/>
          <w:sz w:val="28"/>
          <w:szCs w:val="24"/>
          <w:shd w:val="clear" w:color="auto" w:fill="FFFFFF"/>
        </w:rPr>
        <w:t xml:space="preserve">в два раза ниже, чем в </w:t>
      </w:r>
      <w:r w:rsidR="00487ED8">
        <w:rPr>
          <w:rFonts w:ascii="Times New Roman" w:hAnsi="Times New Roman" w:cs="Times New Roman"/>
          <w:sz w:val="28"/>
          <w:szCs w:val="28"/>
        </w:rPr>
        <w:t>Технологии 1</w:t>
      </w:r>
      <w:r w:rsidR="004D6A23">
        <w:rPr>
          <w:rFonts w:ascii="Times New Roman" w:hAnsi="Times New Roman" w:cs="Times New Roman"/>
          <w:sz w:val="32"/>
          <w:szCs w:val="28"/>
        </w:rPr>
        <w:t xml:space="preserve"> (</w:t>
      </w:r>
      <w:r w:rsidR="006524C2" w:rsidRPr="00EF2837">
        <w:rPr>
          <w:rFonts w:ascii="Times New Roman" w:hAnsi="Times New Roman" w:cs="Times New Roman"/>
          <w:sz w:val="28"/>
          <w:szCs w:val="28"/>
        </w:rPr>
        <w:t>15,47</w:t>
      </w:r>
      <w:r w:rsidR="00516E0D">
        <w:rPr>
          <w:rFonts w:ascii="Times New Roman" w:hAnsi="Times New Roman" w:cs="Times New Roman"/>
          <w:sz w:val="28"/>
          <w:szCs w:val="28"/>
        </w:rPr>
        <w:t>%</w:t>
      </w:r>
      <w:r w:rsidR="004D6A23">
        <w:rPr>
          <w:rFonts w:ascii="Times New Roman" w:hAnsi="Times New Roman" w:cs="Times New Roman"/>
          <w:sz w:val="28"/>
          <w:szCs w:val="28"/>
        </w:rPr>
        <w:t>)</w:t>
      </w:r>
      <w:r w:rsidR="006524C2">
        <w:rPr>
          <w:rFonts w:ascii="Times New Roman" w:hAnsi="Times New Roman" w:cs="Times New Roman"/>
          <w:sz w:val="28"/>
          <w:szCs w:val="28"/>
        </w:rPr>
        <w:t xml:space="preserve"> (р</w:t>
      </w:r>
      <w:r w:rsidR="0003184F">
        <w:rPr>
          <w:rFonts w:ascii="Times New Roman" w:hAnsi="Times New Roman" w:cs="Times New Roman"/>
          <w:sz w:val="28"/>
          <w:szCs w:val="28"/>
        </w:rPr>
        <w:t>=</w:t>
      </w:r>
      <w:r w:rsidR="006524C2">
        <w:rPr>
          <w:rFonts w:ascii="Times New Roman" w:hAnsi="Times New Roman" w:cs="Times New Roman"/>
          <w:sz w:val="28"/>
          <w:szCs w:val="28"/>
        </w:rPr>
        <w:t>0,0</w:t>
      </w:r>
      <w:r w:rsidR="0003184F">
        <w:rPr>
          <w:rFonts w:ascii="Times New Roman" w:hAnsi="Times New Roman" w:cs="Times New Roman"/>
          <w:sz w:val="28"/>
          <w:szCs w:val="28"/>
        </w:rPr>
        <w:t>3</w:t>
      </w:r>
      <w:r w:rsidR="006524C2">
        <w:rPr>
          <w:rFonts w:ascii="Times New Roman" w:hAnsi="Times New Roman" w:cs="Times New Roman"/>
          <w:sz w:val="28"/>
          <w:szCs w:val="28"/>
        </w:rPr>
        <w:t>5).</w:t>
      </w:r>
      <w:r w:rsidR="006524C2" w:rsidRPr="006524C2">
        <w:rPr>
          <w:rFonts w:ascii="Times New Roman" w:hAnsi="Times New Roman" w:cs="Times New Roman"/>
          <w:sz w:val="28"/>
          <w:szCs w:val="28"/>
        </w:rPr>
        <w:t xml:space="preserve"> </w:t>
      </w:r>
      <w:r w:rsidR="006524C2">
        <w:rPr>
          <w:rFonts w:ascii="Times New Roman" w:hAnsi="Times New Roman" w:cs="Times New Roman"/>
          <w:sz w:val="28"/>
          <w:szCs w:val="28"/>
        </w:rPr>
        <w:t xml:space="preserve">Наибольший коэффициент вариации был получен для индекса скорости образования тромбина </w:t>
      </w:r>
      <w:r w:rsidR="006524C2">
        <w:rPr>
          <w:rFonts w:ascii="Times New Roman" w:hAnsi="Times New Roman" w:cs="Times New Roman"/>
          <w:sz w:val="28"/>
          <w:szCs w:val="28"/>
          <w:lang w:val="en-US"/>
        </w:rPr>
        <w:t>VI</w:t>
      </w:r>
      <w:r w:rsidR="006524C2">
        <w:rPr>
          <w:rFonts w:ascii="Times New Roman" w:hAnsi="Times New Roman" w:cs="Times New Roman"/>
          <w:sz w:val="28"/>
          <w:szCs w:val="28"/>
        </w:rPr>
        <w:t xml:space="preserve">: </w:t>
      </w:r>
      <w:r w:rsidR="006524C2" w:rsidRPr="00EF2837">
        <w:rPr>
          <w:rFonts w:ascii="Times New Roman" w:hAnsi="Times New Roman" w:cs="Times New Roman"/>
          <w:sz w:val="28"/>
          <w:szCs w:val="28"/>
        </w:rPr>
        <w:t>32,17</w:t>
      </w:r>
      <w:r w:rsidR="00516E0D">
        <w:rPr>
          <w:rFonts w:ascii="Times New Roman" w:hAnsi="Times New Roman" w:cs="Times New Roman"/>
          <w:sz w:val="28"/>
          <w:szCs w:val="28"/>
        </w:rPr>
        <w:t>%</w:t>
      </w:r>
      <w:r w:rsidR="006524C2">
        <w:rPr>
          <w:rFonts w:ascii="Times New Roman" w:hAnsi="Times New Roman" w:cs="Times New Roman"/>
          <w:sz w:val="28"/>
          <w:szCs w:val="28"/>
        </w:rPr>
        <w:t xml:space="preserve"> в Технологии 1 </w:t>
      </w:r>
      <w:r w:rsidR="006524C2">
        <w:rPr>
          <w:rFonts w:ascii="Times New Roman" w:hAnsi="Times New Roman" w:cs="Times New Roman"/>
          <w:sz w:val="28"/>
          <w:szCs w:val="28"/>
        </w:rPr>
        <w:lastRenderedPageBreak/>
        <w:t xml:space="preserve">и </w:t>
      </w:r>
      <w:r w:rsidR="006524C2" w:rsidRPr="00EF2837">
        <w:rPr>
          <w:rFonts w:ascii="Times New Roman" w:hAnsi="Times New Roman" w:cs="Times New Roman"/>
          <w:sz w:val="28"/>
          <w:szCs w:val="28"/>
        </w:rPr>
        <w:t>36,8</w:t>
      </w:r>
      <w:r w:rsidR="006524C2">
        <w:rPr>
          <w:rFonts w:ascii="Times New Roman" w:hAnsi="Times New Roman" w:cs="Times New Roman"/>
          <w:sz w:val="28"/>
          <w:szCs w:val="28"/>
        </w:rPr>
        <w:t xml:space="preserve">% в Технологии 2. </w:t>
      </w:r>
      <w:r w:rsidR="006524C2">
        <w:rPr>
          <w:rFonts w:ascii="Times New Roman" w:hAnsi="Times New Roman" w:cs="Times New Roman"/>
          <w:sz w:val="28"/>
          <w:szCs w:val="28"/>
          <w:lang w:val="en-US"/>
        </w:rPr>
        <w:t>CVG</w:t>
      </w:r>
      <w:r w:rsidR="006524C2" w:rsidRPr="00F02E48">
        <w:rPr>
          <w:rFonts w:ascii="Times New Roman" w:hAnsi="Times New Roman" w:cs="Times New Roman"/>
          <w:sz w:val="28"/>
          <w:szCs w:val="28"/>
        </w:rPr>
        <w:t xml:space="preserve"> </w:t>
      </w:r>
      <w:r w:rsidR="006524C2">
        <w:rPr>
          <w:rFonts w:ascii="Times New Roman" w:hAnsi="Times New Roman" w:cs="Times New Roman"/>
          <w:sz w:val="28"/>
          <w:szCs w:val="28"/>
        </w:rPr>
        <w:t xml:space="preserve">показателей ТГТ после нормализации снижается при постановке ТГТ </w:t>
      </w:r>
      <w:r w:rsidR="00610EC9">
        <w:rPr>
          <w:rFonts w:ascii="Times New Roman" w:hAnsi="Times New Roman" w:cs="Times New Roman"/>
          <w:sz w:val="28"/>
          <w:szCs w:val="28"/>
        </w:rPr>
        <w:t xml:space="preserve">на </w:t>
      </w:r>
      <w:r w:rsidR="00610EC9" w:rsidRPr="00610EC9">
        <w:rPr>
          <w:rFonts w:ascii="Times New Roman" w:hAnsi="Times New Roman" w:cs="Times New Roman"/>
          <w:sz w:val="28"/>
          <w:szCs w:val="28"/>
        </w:rPr>
        <w:t>Ceveron Alfa</w:t>
      </w:r>
      <w:r w:rsidR="006524C2">
        <w:rPr>
          <w:rFonts w:ascii="Times New Roman" w:hAnsi="Times New Roman" w:cs="Times New Roman"/>
          <w:sz w:val="28"/>
          <w:szCs w:val="28"/>
        </w:rPr>
        <w:t xml:space="preserve"> и практически не изменятся </w:t>
      </w:r>
      <w:r w:rsidR="00516E0D">
        <w:rPr>
          <w:rFonts w:ascii="Times New Roman" w:hAnsi="Times New Roman" w:cs="Times New Roman"/>
          <w:sz w:val="28"/>
          <w:szCs w:val="28"/>
        </w:rPr>
        <w:t>(</w:t>
      </w:r>
      <w:r w:rsidR="00516E0D">
        <w:rPr>
          <w:rFonts w:ascii="Times New Roman" w:hAnsi="Times New Roman" w:cs="Times New Roman"/>
          <w:sz w:val="28"/>
          <w:szCs w:val="28"/>
          <w:lang w:val="en-US"/>
        </w:rPr>
        <w:t>LT</w:t>
      </w:r>
      <w:r w:rsidR="00516E0D" w:rsidRPr="00516E0D">
        <w:rPr>
          <w:rFonts w:ascii="Times New Roman" w:hAnsi="Times New Roman" w:cs="Times New Roman"/>
          <w:sz w:val="28"/>
          <w:szCs w:val="28"/>
        </w:rPr>
        <w:t xml:space="preserve">, </w:t>
      </w:r>
      <w:r w:rsidR="00516E0D">
        <w:rPr>
          <w:rFonts w:ascii="Times New Roman" w:hAnsi="Times New Roman" w:cs="Times New Roman"/>
          <w:sz w:val="28"/>
          <w:szCs w:val="28"/>
          <w:lang w:val="en-US"/>
        </w:rPr>
        <w:t>ETP</w:t>
      </w:r>
      <w:r w:rsidR="00516E0D">
        <w:rPr>
          <w:rFonts w:ascii="Times New Roman" w:hAnsi="Times New Roman" w:cs="Times New Roman"/>
          <w:sz w:val="28"/>
          <w:szCs w:val="28"/>
        </w:rPr>
        <w:t xml:space="preserve">) </w:t>
      </w:r>
      <w:r w:rsidR="006524C2">
        <w:rPr>
          <w:rFonts w:ascii="Times New Roman" w:hAnsi="Times New Roman" w:cs="Times New Roman"/>
          <w:sz w:val="28"/>
          <w:szCs w:val="28"/>
        </w:rPr>
        <w:t>или повышается</w:t>
      </w:r>
      <w:r w:rsidR="00516E0D" w:rsidRPr="00516E0D">
        <w:rPr>
          <w:rFonts w:ascii="Times New Roman" w:hAnsi="Times New Roman" w:cs="Times New Roman"/>
          <w:sz w:val="28"/>
          <w:szCs w:val="28"/>
        </w:rPr>
        <w:t xml:space="preserve"> (</w:t>
      </w:r>
      <w:r w:rsidR="00516E0D">
        <w:rPr>
          <w:rFonts w:ascii="Times New Roman" w:hAnsi="Times New Roman" w:cs="Times New Roman"/>
          <w:sz w:val="28"/>
          <w:szCs w:val="28"/>
          <w:lang w:val="en-US"/>
        </w:rPr>
        <w:t>Peak</w:t>
      </w:r>
      <w:r w:rsidR="00516E0D" w:rsidRPr="00516E0D">
        <w:rPr>
          <w:rFonts w:ascii="Times New Roman" w:hAnsi="Times New Roman" w:cs="Times New Roman"/>
          <w:sz w:val="28"/>
          <w:szCs w:val="28"/>
        </w:rPr>
        <w:t xml:space="preserve"> </w:t>
      </w:r>
      <w:r w:rsidR="00516E0D">
        <w:rPr>
          <w:rFonts w:ascii="Times New Roman" w:hAnsi="Times New Roman" w:cs="Times New Roman"/>
          <w:sz w:val="28"/>
          <w:szCs w:val="28"/>
          <w:lang w:val="en-US"/>
        </w:rPr>
        <w:t>thr</w:t>
      </w:r>
      <w:r w:rsidR="00516E0D" w:rsidRPr="00516E0D">
        <w:rPr>
          <w:rFonts w:ascii="Times New Roman" w:hAnsi="Times New Roman" w:cs="Times New Roman"/>
          <w:sz w:val="28"/>
          <w:szCs w:val="28"/>
        </w:rPr>
        <w:t xml:space="preserve">., </w:t>
      </w:r>
      <w:r w:rsidR="00516E0D">
        <w:rPr>
          <w:rFonts w:ascii="Times New Roman" w:hAnsi="Times New Roman" w:cs="Times New Roman"/>
          <w:sz w:val="28"/>
          <w:szCs w:val="28"/>
          <w:lang w:val="en-US"/>
        </w:rPr>
        <w:t>ttPeak</w:t>
      </w:r>
      <w:r w:rsidR="00516E0D" w:rsidRPr="00516E0D">
        <w:rPr>
          <w:rFonts w:ascii="Times New Roman" w:hAnsi="Times New Roman" w:cs="Times New Roman"/>
          <w:sz w:val="28"/>
          <w:szCs w:val="28"/>
        </w:rPr>
        <w:t xml:space="preserve">, </w:t>
      </w:r>
      <w:r w:rsidR="00516E0D">
        <w:rPr>
          <w:rFonts w:ascii="Times New Roman" w:hAnsi="Times New Roman" w:cs="Times New Roman"/>
          <w:sz w:val="28"/>
          <w:szCs w:val="28"/>
          <w:lang w:val="en-US"/>
        </w:rPr>
        <w:t>VI</w:t>
      </w:r>
      <w:r w:rsidR="00516E0D" w:rsidRPr="00516E0D">
        <w:rPr>
          <w:rFonts w:ascii="Times New Roman" w:hAnsi="Times New Roman" w:cs="Times New Roman"/>
          <w:sz w:val="28"/>
          <w:szCs w:val="28"/>
        </w:rPr>
        <w:t>)</w:t>
      </w:r>
      <w:r w:rsidR="006524C2">
        <w:rPr>
          <w:rFonts w:ascii="Times New Roman" w:hAnsi="Times New Roman" w:cs="Times New Roman"/>
          <w:sz w:val="28"/>
          <w:szCs w:val="28"/>
        </w:rPr>
        <w:t xml:space="preserve"> </w:t>
      </w:r>
      <w:r w:rsidR="0003184F">
        <w:rPr>
          <w:rFonts w:ascii="Times New Roman" w:hAnsi="Times New Roman" w:cs="Times New Roman"/>
          <w:sz w:val="28"/>
          <w:szCs w:val="28"/>
        </w:rPr>
        <w:t xml:space="preserve">при </w:t>
      </w:r>
      <w:r w:rsidR="00610EC9">
        <w:rPr>
          <w:rFonts w:ascii="Times New Roman" w:hAnsi="Times New Roman" w:cs="Times New Roman"/>
          <w:sz w:val="28"/>
          <w:szCs w:val="28"/>
        </w:rPr>
        <w:t xml:space="preserve">исследовании на </w:t>
      </w:r>
      <w:r w:rsidR="00610EC9" w:rsidRPr="00610EC9">
        <w:rPr>
          <w:rFonts w:ascii="Times New Roman" w:hAnsi="Times New Roman" w:cs="Times New Roman"/>
          <w:sz w:val="28"/>
          <w:szCs w:val="28"/>
        </w:rPr>
        <w:t>Fluoroscan Ascent</w:t>
      </w:r>
      <w:r w:rsidR="0003184F">
        <w:rPr>
          <w:rFonts w:ascii="Times New Roman" w:hAnsi="Times New Roman" w:cs="Times New Roman"/>
          <w:sz w:val="28"/>
          <w:szCs w:val="28"/>
        </w:rPr>
        <w:t>, но статистически значимых</w:t>
      </w:r>
      <w:r>
        <w:rPr>
          <w:rFonts w:ascii="Times New Roman" w:hAnsi="Times New Roman" w:cs="Times New Roman"/>
          <w:sz w:val="28"/>
          <w:szCs w:val="28"/>
        </w:rPr>
        <w:t xml:space="preserve"> </w:t>
      </w:r>
      <w:r w:rsidR="0003184F">
        <w:rPr>
          <w:rFonts w:ascii="Times New Roman" w:hAnsi="Times New Roman" w:cs="Times New Roman"/>
          <w:sz w:val="28"/>
          <w:szCs w:val="28"/>
        </w:rPr>
        <w:t xml:space="preserve">различий </w:t>
      </w:r>
      <w:r>
        <w:rPr>
          <w:rFonts w:ascii="Times New Roman" w:hAnsi="Times New Roman" w:cs="Times New Roman"/>
          <w:sz w:val="28"/>
          <w:szCs w:val="28"/>
        </w:rPr>
        <w:t>после нормализации данных</w:t>
      </w:r>
      <w:r w:rsidR="0003184F">
        <w:rPr>
          <w:rFonts w:ascii="Times New Roman" w:hAnsi="Times New Roman" w:cs="Times New Roman"/>
          <w:sz w:val="28"/>
          <w:szCs w:val="28"/>
        </w:rPr>
        <w:t xml:space="preserve"> не было выявлено</w:t>
      </w:r>
      <w:r>
        <w:rPr>
          <w:rFonts w:ascii="Times New Roman" w:hAnsi="Times New Roman" w:cs="Times New Roman"/>
          <w:sz w:val="28"/>
          <w:szCs w:val="28"/>
        </w:rPr>
        <w:t>, что согласуется с результатами, полученными другими авторами</w:t>
      </w:r>
      <w:r w:rsidRPr="00E022EA">
        <w:rPr>
          <w:rFonts w:ascii="Times New Roman" w:hAnsi="Times New Roman" w:cs="Times New Roman"/>
          <w:sz w:val="28"/>
          <w:szCs w:val="28"/>
        </w:rPr>
        <w:t xml:space="preserve"> </w:t>
      </w:r>
      <w:r w:rsidRPr="00166690">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ADDIN ZOTERO_ITEM CSL_CITATION {"citationID":"viKvXBRw","properties":{"formattedCitation":"(9)","plainCitation":"(9)","noteIndex":0},"citationItems":[{"id":"MkePDU5i/8bt3Msps","uris":["http://zotero.org/groups/4391357/items/ZBMZN8AK"],"itemData":{"id":837,"type":"article-journal","abstract":"BACKGROUND: Calibrated Automated Thrombography (CAT) has been widely used to assess in vitro thrombin generation as an informative intermediary phenotype of coagulation. Interlaboratory exercises have documented a worrisome poor reproducibility. There are some data on the normalisation with an appropriate external reference plasma (RP). This multicentre study of the French-speaking CAT Club aimed at providing further evidence for the usefulness of such a normalisation.\nMATERIALS AND METHODS: Lyophilised aliquots of a RP along with 3 plasmas (P1=normal; P2=hypo-; P3=hypercoagulable) were sent to 34 laboratories (corresponding to 38 instruments). CAT was studied using 1 and 5 pM tissue factor and other dedicated reagents. Normalisation with the local RP in use in the laboratory could also be performed. Interlaboratory CVs were calculated for each plasma before and after normalisation.\nRESULTS: Regarding endogenous thrombin potential, a good discrimination between the 3 plasmas was achieved in all laboratories but there was no overlap after normalisation only. CVs were generally not reduced with the use of local RP but were generally improved with normalisation using the external RP, often becoming lower than 10%. Regarding P2 however, the benefit of normalisation was poor, and there were analytical difficulties as well, some laboratories being unable to get a useable signal.\nCONCLUSIONS: We confirm that normalisation of CAT results with a suitable external RP is useful in \"real life\" practice as it often permits an acceptable level of interlaboratory variability. In case of frank hypocoagulability, further improvements are required to get reliable, potentially clinically relevant results.","container-title":"Thrombosis Research","DOI":"10.1016/j.thromres.2014.12.015","ISSN":"1879-2472","issue":"1","journalAbbreviation":"Thromb Res","language":"eng","note":"PMID: 25563679","page":"125-130","source":"PubMed","title":"Large external quality assessment survey on thrombin generation with CAT: further evidence for the usefulness of normalisation with an external reference plasma","title-short":"Large external quality assessment survey on thrombin generation with CAT","volume":"136","author":[{"family":"Perrin","given":"Julien"},{"family":"Depasse","given":"François"},{"family":"Lecompte","given":"Thomas"},{"literal":"French-speaking CAT group and under the aegis of GEHT"},{"literal":"French-speaking CAT group (all in France unless otherwise stated):"},{"literal":"French-speaking CAT group all in France unless otherwise stated"}],"issued":{"date-parts":[["2015",7]]}}}],"schema":"https://github.com/citation-style-language/schema/raw/master/csl-citation.json"} </w:instrText>
      </w:r>
      <w:r>
        <w:rPr>
          <w:rFonts w:ascii="Times New Roman" w:hAnsi="Times New Roman" w:cs="Times New Roman"/>
          <w:sz w:val="28"/>
          <w:szCs w:val="28"/>
        </w:rPr>
        <w:fldChar w:fldCharType="separate"/>
      </w:r>
      <w:r w:rsidRPr="00A15614">
        <w:rPr>
          <w:rFonts w:ascii="Times New Roman" w:hAnsi="Times New Roman" w:cs="Times New Roman"/>
          <w:sz w:val="28"/>
        </w:rPr>
        <w:t>9</w:t>
      </w:r>
      <w:r>
        <w:rPr>
          <w:rFonts w:ascii="Times New Roman" w:hAnsi="Times New Roman" w:cs="Times New Roman"/>
          <w:sz w:val="28"/>
          <w:szCs w:val="28"/>
        </w:rPr>
        <w:fldChar w:fldCharType="end"/>
      </w:r>
      <w:r w:rsidRPr="0043797C">
        <w:rPr>
          <w:rFonts w:ascii="Times New Roman" w:hAnsi="Times New Roman" w:cs="Times New Roman"/>
          <w:sz w:val="28"/>
          <w:szCs w:val="28"/>
        </w:rPr>
        <w:t>].</w:t>
      </w:r>
      <w:r>
        <w:rPr>
          <w:rFonts w:ascii="Times New Roman" w:hAnsi="Times New Roman" w:cs="Times New Roman"/>
          <w:sz w:val="28"/>
          <w:szCs w:val="28"/>
        </w:rPr>
        <w:t xml:space="preserve"> </w:t>
      </w:r>
    </w:p>
    <w:p w14:paraId="095C8298" w14:textId="1BF9EB08" w:rsidR="00B1452F" w:rsidRPr="002D07CC" w:rsidRDefault="00B1452F" w:rsidP="00B1452F">
      <w:pPr>
        <w:spacing w:after="0" w:line="240" w:lineRule="auto"/>
        <w:ind w:firstLine="709"/>
        <w:contextualSpacing/>
        <w:jc w:val="center"/>
        <w:rPr>
          <w:rFonts w:ascii="Times New Roman" w:hAnsi="Times New Roman" w:cs="Times New Roman"/>
          <w:b/>
          <w:sz w:val="28"/>
          <w:szCs w:val="28"/>
          <w:highlight w:val="yellow"/>
        </w:rPr>
      </w:pPr>
      <w:r w:rsidRPr="002D07CC">
        <w:rPr>
          <w:rFonts w:ascii="Times New Roman" w:hAnsi="Times New Roman" w:cs="Times New Roman"/>
          <w:b/>
          <w:sz w:val="28"/>
          <w:szCs w:val="28"/>
          <w:highlight w:val="yellow"/>
        </w:rPr>
        <w:t xml:space="preserve">Таблица 1. </w:t>
      </w:r>
      <w:r w:rsidR="00105B6F" w:rsidRPr="002D07CC">
        <w:rPr>
          <w:rFonts w:ascii="Times New Roman" w:hAnsi="Times New Roman" w:cs="Times New Roman"/>
          <w:b/>
          <w:sz w:val="28"/>
          <w:szCs w:val="28"/>
          <w:highlight w:val="yellow"/>
        </w:rPr>
        <w:t>М</w:t>
      </w:r>
      <w:r w:rsidRPr="002D07CC">
        <w:rPr>
          <w:rFonts w:ascii="Times New Roman" w:hAnsi="Times New Roman" w:cs="Times New Roman"/>
          <w:b/>
          <w:sz w:val="28"/>
          <w:szCs w:val="28"/>
          <w:highlight w:val="yellow"/>
        </w:rPr>
        <w:t>ежиндивидуальная вариабельность генерации тромбина в бедной тромбоцитами плазме у здоровых доноров</w:t>
      </w:r>
    </w:p>
    <w:p w14:paraId="3D0AB538" w14:textId="77777777" w:rsidR="00B1452F" w:rsidRPr="002D07CC" w:rsidRDefault="00B1452F" w:rsidP="00B1452F">
      <w:pPr>
        <w:spacing w:after="0" w:line="240" w:lineRule="auto"/>
        <w:ind w:firstLine="709"/>
        <w:contextualSpacing/>
        <w:jc w:val="center"/>
        <w:rPr>
          <w:rFonts w:ascii="Times New Roman" w:hAnsi="Times New Roman" w:cs="Times New Roman"/>
          <w:b/>
          <w:sz w:val="28"/>
          <w:szCs w:val="28"/>
          <w:highlight w:val="yellow"/>
        </w:rPr>
      </w:pPr>
    </w:p>
    <w:p w14:paraId="5FF8E387" w14:textId="708E05FD" w:rsidR="00B1452F" w:rsidRPr="002D07CC" w:rsidRDefault="00B1452F" w:rsidP="00B1452F">
      <w:pPr>
        <w:spacing w:after="0" w:line="240" w:lineRule="auto"/>
        <w:ind w:firstLine="709"/>
        <w:contextualSpacing/>
        <w:jc w:val="center"/>
        <w:rPr>
          <w:rFonts w:ascii="Times New Roman" w:hAnsi="Times New Roman" w:cs="Times New Roman"/>
          <w:b/>
          <w:sz w:val="28"/>
          <w:szCs w:val="28"/>
          <w:highlight w:val="yellow"/>
          <w:lang w:val="en-US"/>
        </w:rPr>
      </w:pPr>
      <w:r w:rsidRPr="002D07CC">
        <w:rPr>
          <w:rFonts w:ascii="Times New Roman" w:hAnsi="Times New Roman" w:cs="Times New Roman"/>
          <w:b/>
          <w:sz w:val="28"/>
          <w:szCs w:val="28"/>
          <w:highlight w:val="yellow"/>
          <w:lang w:val="en-US"/>
        </w:rPr>
        <w:t xml:space="preserve">Table 1. </w:t>
      </w:r>
      <w:r w:rsidR="00105B6F" w:rsidRPr="002D07CC">
        <w:rPr>
          <w:rFonts w:ascii="Times New Roman" w:hAnsi="Times New Roman" w:cs="Times New Roman"/>
          <w:b/>
          <w:sz w:val="28"/>
          <w:szCs w:val="28"/>
          <w:highlight w:val="yellow"/>
          <w:lang w:val="en-US"/>
        </w:rPr>
        <w:t>I</w:t>
      </w:r>
      <w:r w:rsidRPr="002D07CC">
        <w:rPr>
          <w:rFonts w:ascii="Times New Roman" w:hAnsi="Times New Roman" w:cs="Times New Roman"/>
          <w:b/>
          <w:sz w:val="28"/>
          <w:szCs w:val="28"/>
          <w:highlight w:val="yellow"/>
          <w:lang w:val="en-US"/>
        </w:rPr>
        <w:t xml:space="preserve">nter-individuals variation of thrombin generation in donors’ platelet-poor plasma </w:t>
      </w:r>
    </w:p>
    <w:tbl>
      <w:tblPr>
        <w:tblStyle w:val="a3"/>
        <w:tblW w:w="0" w:type="auto"/>
        <w:tblLook w:val="04A0" w:firstRow="1" w:lastRow="0" w:firstColumn="1" w:lastColumn="0" w:noHBand="0" w:noVBand="1"/>
      </w:tblPr>
      <w:tblGrid>
        <w:gridCol w:w="1632"/>
        <w:gridCol w:w="2091"/>
        <w:gridCol w:w="2200"/>
        <w:gridCol w:w="1118"/>
        <w:gridCol w:w="1376"/>
        <w:gridCol w:w="1211"/>
      </w:tblGrid>
      <w:tr w:rsidR="001039BB" w:rsidRPr="002D07CC" w14:paraId="3CA36D2D" w14:textId="77777777" w:rsidTr="00105B6F">
        <w:tc>
          <w:tcPr>
            <w:tcW w:w="1642" w:type="dxa"/>
            <w:vMerge w:val="restart"/>
          </w:tcPr>
          <w:p w14:paraId="61D4EB48" w14:textId="71B2E890" w:rsidR="001039BB" w:rsidRPr="002D07CC" w:rsidRDefault="001039BB" w:rsidP="00B1452F">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b/>
                <w:sz w:val="24"/>
                <w:szCs w:val="24"/>
                <w:highlight w:val="yellow"/>
              </w:rPr>
              <w:t>Показатель</w:t>
            </w:r>
          </w:p>
        </w:tc>
        <w:tc>
          <w:tcPr>
            <w:tcW w:w="5554" w:type="dxa"/>
            <w:gridSpan w:val="3"/>
          </w:tcPr>
          <w:p w14:paraId="123B7B81" w14:textId="7B10AF1D"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b/>
                <w:sz w:val="24"/>
                <w:szCs w:val="24"/>
                <w:highlight w:val="yellow"/>
                <w:lang w:val="en-US"/>
              </w:rPr>
              <w:t>Me</w:t>
            </w:r>
            <w:r w:rsidRPr="002D07CC">
              <w:rPr>
                <w:rFonts w:ascii="Times New Roman" w:hAnsi="Times New Roman" w:cs="Times New Roman"/>
                <w:b/>
                <w:sz w:val="24"/>
                <w:szCs w:val="24"/>
                <w:highlight w:val="yellow"/>
              </w:rPr>
              <w:t xml:space="preserve"> </w:t>
            </w:r>
            <w:r w:rsidRPr="002D07CC">
              <w:rPr>
                <w:rFonts w:ascii="Times New Roman" w:hAnsi="Times New Roman" w:cs="Times New Roman"/>
                <w:b/>
                <w:sz w:val="24"/>
                <w:szCs w:val="24"/>
                <w:highlight w:val="yellow"/>
                <w:lang w:val="en-US"/>
              </w:rPr>
              <w:t>[Q1-Q3]</w:t>
            </w:r>
          </w:p>
        </w:tc>
        <w:tc>
          <w:tcPr>
            <w:tcW w:w="2658" w:type="dxa"/>
            <w:gridSpan w:val="2"/>
          </w:tcPr>
          <w:p w14:paraId="387D5E9D" w14:textId="701233F0" w:rsidR="001039BB" w:rsidRPr="002D07CC" w:rsidRDefault="001039BB" w:rsidP="00B1452F">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b/>
                <w:sz w:val="24"/>
                <w:szCs w:val="24"/>
                <w:highlight w:val="yellow"/>
                <w:lang w:val="en-US"/>
              </w:rPr>
              <w:t>CVG, %</w:t>
            </w:r>
          </w:p>
        </w:tc>
      </w:tr>
      <w:tr w:rsidR="001039BB" w:rsidRPr="002D07CC" w14:paraId="0B44FD5D" w14:textId="77777777" w:rsidTr="00105B6F">
        <w:tc>
          <w:tcPr>
            <w:tcW w:w="1642" w:type="dxa"/>
            <w:vMerge/>
          </w:tcPr>
          <w:p w14:paraId="64A01D67" w14:textId="77777777" w:rsidR="001039BB" w:rsidRPr="002D07CC" w:rsidRDefault="001039BB" w:rsidP="001039BB">
            <w:pPr>
              <w:contextualSpacing/>
              <w:jc w:val="center"/>
              <w:rPr>
                <w:rFonts w:ascii="Times New Roman" w:hAnsi="Times New Roman" w:cs="Times New Roman"/>
                <w:b/>
                <w:sz w:val="24"/>
                <w:szCs w:val="24"/>
                <w:highlight w:val="yellow"/>
                <w:lang w:val="en-US"/>
              </w:rPr>
            </w:pPr>
          </w:p>
        </w:tc>
        <w:tc>
          <w:tcPr>
            <w:tcW w:w="2152" w:type="dxa"/>
          </w:tcPr>
          <w:p w14:paraId="6D94F240" w14:textId="7439BA94" w:rsidR="001039BB" w:rsidRPr="002D07CC" w:rsidRDefault="001039BB" w:rsidP="001039BB">
            <w:pPr>
              <w:contextualSpacing/>
              <w:jc w:val="center"/>
              <w:rPr>
                <w:rFonts w:ascii="Times New Roman" w:hAnsi="Times New Roman" w:cs="Times New Roman"/>
                <w:b/>
                <w:sz w:val="24"/>
                <w:szCs w:val="24"/>
                <w:highlight w:val="yellow"/>
              </w:rPr>
            </w:pPr>
            <w:r w:rsidRPr="002D07CC">
              <w:rPr>
                <w:rFonts w:ascii="Times New Roman" w:hAnsi="Times New Roman" w:cs="Times New Roman"/>
                <w:b/>
                <w:sz w:val="24"/>
                <w:szCs w:val="24"/>
                <w:highlight w:val="yellow"/>
              </w:rPr>
              <w:t>Т1</w:t>
            </w:r>
          </w:p>
        </w:tc>
        <w:tc>
          <w:tcPr>
            <w:tcW w:w="2268" w:type="dxa"/>
          </w:tcPr>
          <w:p w14:paraId="061E686E" w14:textId="217532BC" w:rsidR="001039BB" w:rsidRPr="002D07CC" w:rsidRDefault="001039BB" w:rsidP="001039BB">
            <w:pPr>
              <w:contextualSpacing/>
              <w:jc w:val="center"/>
              <w:rPr>
                <w:rFonts w:ascii="Times New Roman" w:hAnsi="Times New Roman" w:cs="Times New Roman"/>
                <w:b/>
                <w:sz w:val="24"/>
                <w:szCs w:val="24"/>
                <w:highlight w:val="yellow"/>
              </w:rPr>
            </w:pPr>
            <w:r w:rsidRPr="002D07CC">
              <w:rPr>
                <w:rFonts w:ascii="Times New Roman" w:hAnsi="Times New Roman" w:cs="Times New Roman"/>
                <w:b/>
                <w:sz w:val="24"/>
                <w:szCs w:val="24"/>
                <w:highlight w:val="yellow"/>
              </w:rPr>
              <w:t>Т2</w:t>
            </w:r>
          </w:p>
        </w:tc>
        <w:tc>
          <w:tcPr>
            <w:tcW w:w="1134" w:type="dxa"/>
          </w:tcPr>
          <w:p w14:paraId="5798FC15" w14:textId="318CBE85"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b/>
                <w:sz w:val="24"/>
                <w:szCs w:val="24"/>
                <w:highlight w:val="yellow"/>
              </w:rPr>
              <w:t>р</w:t>
            </w:r>
          </w:p>
        </w:tc>
        <w:tc>
          <w:tcPr>
            <w:tcW w:w="1417" w:type="dxa"/>
          </w:tcPr>
          <w:p w14:paraId="230B8D58" w14:textId="1D15EB50"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b/>
                <w:sz w:val="24"/>
                <w:szCs w:val="24"/>
                <w:highlight w:val="yellow"/>
              </w:rPr>
              <w:t>Т1</w:t>
            </w:r>
          </w:p>
        </w:tc>
        <w:tc>
          <w:tcPr>
            <w:tcW w:w="1241" w:type="dxa"/>
          </w:tcPr>
          <w:p w14:paraId="0D3A2909" w14:textId="6CF121D1"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b/>
                <w:sz w:val="24"/>
                <w:szCs w:val="24"/>
                <w:highlight w:val="yellow"/>
              </w:rPr>
              <w:t>Т2</w:t>
            </w:r>
          </w:p>
        </w:tc>
      </w:tr>
      <w:tr w:rsidR="001039BB" w:rsidRPr="002D07CC" w14:paraId="797BF65B" w14:textId="77777777" w:rsidTr="00105B6F">
        <w:tc>
          <w:tcPr>
            <w:tcW w:w="1642" w:type="dxa"/>
          </w:tcPr>
          <w:p w14:paraId="70B88A03" w14:textId="382E5BDD" w:rsidR="001039BB" w:rsidRPr="002D07CC" w:rsidRDefault="001039BB" w:rsidP="001039BB">
            <w:pPr>
              <w:contextualSpacing/>
              <w:rPr>
                <w:rFonts w:ascii="Times New Roman" w:hAnsi="Times New Roman" w:cs="Times New Roman"/>
                <w:b/>
                <w:sz w:val="24"/>
                <w:szCs w:val="24"/>
                <w:highlight w:val="yellow"/>
                <w:lang w:val="en-US"/>
              </w:rPr>
            </w:pPr>
            <w:r w:rsidRPr="002D07CC">
              <w:rPr>
                <w:rFonts w:ascii="Times New Roman" w:hAnsi="Times New Roman" w:cs="Times New Roman"/>
                <w:b/>
                <w:color w:val="000000"/>
                <w:sz w:val="24"/>
                <w:szCs w:val="24"/>
                <w:highlight w:val="yellow"/>
              </w:rPr>
              <w:t>LagTime, мин</w:t>
            </w:r>
          </w:p>
        </w:tc>
        <w:tc>
          <w:tcPr>
            <w:tcW w:w="2152" w:type="dxa"/>
          </w:tcPr>
          <w:p w14:paraId="2C28833D" w14:textId="77777777" w:rsidR="001039BB" w:rsidRPr="002D07CC" w:rsidRDefault="001039BB" w:rsidP="001039BB">
            <w:pPr>
              <w:contextualSpacing/>
              <w:jc w:val="center"/>
              <w:rPr>
                <w:rFonts w:ascii="Times New Roman" w:hAnsi="Times New Roman" w:cs="Times New Roman"/>
                <w:sz w:val="24"/>
                <w:szCs w:val="24"/>
                <w:highlight w:val="yellow"/>
              </w:rPr>
            </w:pPr>
            <w:r w:rsidRPr="002D07CC">
              <w:rPr>
                <w:rFonts w:ascii="Times New Roman" w:hAnsi="Times New Roman" w:cs="Times New Roman"/>
                <w:sz w:val="24"/>
                <w:szCs w:val="24"/>
                <w:highlight w:val="yellow"/>
              </w:rPr>
              <w:t>2,50</w:t>
            </w:r>
          </w:p>
          <w:p w14:paraId="72937BE4" w14:textId="22E451D1" w:rsidR="001039BB" w:rsidRPr="002D07CC" w:rsidRDefault="001039BB" w:rsidP="001039BB">
            <w:pPr>
              <w:contextualSpacing/>
              <w:jc w:val="center"/>
              <w:rPr>
                <w:rFonts w:ascii="Times New Roman" w:hAnsi="Times New Roman" w:cs="Times New Roman"/>
                <w:sz w:val="24"/>
                <w:szCs w:val="24"/>
                <w:highlight w:val="yellow"/>
                <w:lang w:val="en-US"/>
              </w:rPr>
            </w:pPr>
            <w:r w:rsidRPr="002D07CC">
              <w:rPr>
                <w:rFonts w:ascii="Times New Roman" w:hAnsi="Times New Roman" w:cs="Times New Roman"/>
                <w:sz w:val="24"/>
                <w:szCs w:val="24"/>
                <w:highlight w:val="yellow"/>
                <w:lang w:val="en-US"/>
              </w:rPr>
              <w:t>[</w:t>
            </w:r>
            <w:r w:rsidRPr="002D07CC">
              <w:rPr>
                <w:rFonts w:ascii="Times New Roman" w:hAnsi="Times New Roman" w:cs="Times New Roman"/>
                <w:sz w:val="24"/>
                <w:szCs w:val="24"/>
                <w:highlight w:val="yellow"/>
              </w:rPr>
              <w:t>2,35</w:t>
            </w:r>
            <w:r w:rsidRPr="002D07CC">
              <w:rPr>
                <w:rFonts w:ascii="Times New Roman" w:hAnsi="Times New Roman" w:cs="Times New Roman"/>
                <w:sz w:val="24"/>
                <w:szCs w:val="24"/>
                <w:highlight w:val="yellow"/>
                <w:lang w:val="en-US"/>
              </w:rPr>
              <w:t xml:space="preserve"> - </w:t>
            </w:r>
            <w:r w:rsidRPr="002D07CC">
              <w:rPr>
                <w:rFonts w:ascii="Times New Roman" w:hAnsi="Times New Roman" w:cs="Times New Roman"/>
                <w:sz w:val="24"/>
                <w:szCs w:val="24"/>
                <w:highlight w:val="yellow"/>
              </w:rPr>
              <w:t>2,92</w:t>
            </w:r>
            <w:r w:rsidRPr="002D07CC">
              <w:rPr>
                <w:rFonts w:ascii="Times New Roman" w:hAnsi="Times New Roman" w:cs="Times New Roman"/>
                <w:sz w:val="24"/>
                <w:szCs w:val="24"/>
                <w:highlight w:val="yellow"/>
                <w:lang w:val="en-US"/>
              </w:rPr>
              <w:t>]</w:t>
            </w:r>
          </w:p>
        </w:tc>
        <w:tc>
          <w:tcPr>
            <w:tcW w:w="2268" w:type="dxa"/>
          </w:tcPr>
          <w:p w14:paraId="1B3C446D" w14:textId="77777777" w:rsidR="001039BB" w:rsidRPr="002D07CC" w:rsidRDefault="001039BB" w:rsidP="00105B6F">
            <w:pPr>
              <w:contextualSpacing/>
              <w:jc w:val="center"/>
              <w:rPr>
                <w:rFonts w:ascii="Times New Roman" w:hAnsi="Times New Roman" w:cs="Times New Roman"/>
                <w:sz w:val="24"/>
                <w:szCs w:val="24"/>
                <w:highlight w:val="yellow"/>
              </w:rPr>
            </w:pPr>
            <w:r w:rsidRPr="002D07CC">
              <w:rPr>
                <w:rFonts w:ascii="Times New Roman" w:hAnsi="Times New Roman" w:cs="Times New Roman"/>
                <w:sz w:val="24"/>
                <w:szCs w:val="24"/>
                <w:highlight w:val="yellow"/>
                <w:lang w:val="en-US"/>
              </w:rPr>
              <w:t>2,1</w:t>
            </w:r>
            <w:r w:rsidRPr="002D07CC">
              <w:rPr>
                <w:rFonts w:ascii="Times New Roman" w:hAnsi="Times New Roman" w:cs="Times New Roman"/>
                <w:sz w:val="24"/>
                <w:szCs w:val="24"/>
                <w:highlight w:val="yellow"/>
              </w:rPr>
              <w:t>0</w:t>
            </w:r>
          </w:p>
          <w:p w14:paraId="1F04BBC3" w14:textId="7219BEB8" w:rsidR="001039BB" w:rsidRPr="002D07CC" w:rsidRDefault="001039BB" w:rsidP="00105B6F">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lang w:val="en-US"/>
              </w:rPr>
              <w:t>[1,88</w:t>
            </w:r>
            <w:r w:rsidRPr="002D07CC">
              <w:rPr>
                <w:rFonts w:ascii="Times New Roman" w:hAnsi="Times New Roman" w:cs="Times New Roman"/>
                <w:sz w:val="24"/>
                <w:szCs w:val="24"/>
                <w:highlight w:val="yellow"/>
              </w:rPr>
              <w:t>-</w:t>
            </w:r>
            <w:r w:rsidRPr="002D07CC">
              <w:rPr>
                <w:rFonts w:ascii="Times New Roman" w:hAnsi="Times New Roman" w:cs="Times New Roman"/>
                <w:sz w:val="24"/>
                <w:szCs w:val="24"/>
                <w:highlight w:val="yellow"/>
                <w:lang w:val="en-US"/>
              </w:rPr>
              <w:t>2,</w:t>
            </w:r>
            <w:r w:rsidRPr="002D07CC">
              <w:rPr>
                <w:rFonts w:ascii="Times New Roman" w:hAnsi="Times New Roman" w:cs="Times New Roman"/>
                <w:sz w:val="24"/>
                <w:szCs w:val="24"/>
                <w:highlight w:val="yellow"/>
              </w:rPr>
              <w:t>35</w:t>
            </w:r>
            <w:r w:rsidRPr="002D07CC">
              <w:rPr>
                <w:rFonts w:ascii="Times New Roman" w:hAnsi="Times New Roman" w:cs="Times New Roman"/>
                <w:sz w:val="24"/>
                <w:szCs w:val="24"/>
                <w:highlight w:val="yellow"/>
                <w:lang w:val="en-US"/>
              </w:rPr>
              <w:t>]</w:t>
            </w:r>
          </w:p>
        </w:tc>
        <w:tc>
          <w:tcPr>
            <w:tcW w:w="1134" w:type="dxa"/>
          </w:tcPr>
          <w:p w14:paraId="13A3EAE7" w14:textId="25B617B8" w:rsidR="001039BB" w:rsidRPr="002D07CC" w:rsidRDefault="001039BB" w:rsidP="00105B6F">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rPr>
              <w:t>0,02</w:t>
            </w:r>
          </w:p>
        </w:tc>
        <w:tc>
          <w:tcPr>
            <w:tcW w:w="1417" w:type="dxa"/>
          </w:tcPr>
          <w:p w14:paraId="12776933" w14:textId="211B2DD3"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rPr>
              <w:t>18,45</w:t>
            </w:r>
          </w:p>
        </w:tc>
        <w:tc>
          <w:tcPr>
            <w:tcW w:w="1241" w:type="dxa"/>
          </w:tcPr>
          <w:p w14:paraId="0A0B95BC" w14:textId="6596B58B"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rPr>
              <w:t>18,19</w:t>
            </w:r>
          </w:p>
        </w:tc>
      </w:tr>
      <w:tr w:rsidR="001039BB" w:rsidRPr="002D07CC" w14:paraId="353CB63E" w14:textId="77777777" w:rsidTr="00105B6F">
        <w:tc>
          <w:tcPr>
            <w:tcW w:w="1642" w:type="dxa"/>
          </w:tcPr>
          <w:p w14:paraId="23A6EF94" w14:textId="360A4CF9" w:rsidR="001039BB" w:rsidRPr="002D07CC" w:rsidRDefault="001039BB" w:rsidP="001039BB">
            <w:pPr>
              <w:contextualSpacing/>
              <w:rPr>
                <w:rFonts w:ascii="Times New Roman" w:hAnsi="Times New Roman" w:cs="Times New Roman"/>
                <w:b/>
                <w:sz w:val="24"/>
                <w:szCs w:val="24"/>
                <w:highlight w:val="yellow"/>
                <w:lang w:val="en-US"/>
              </w:rPr>
            </w:pPr>
            <w:r w:rsidRPr="002D07CC">
              <w:rPr>
                <w:rFonts w:ascii="Times New Roman" w:hAnsi="Times New Roman" w:cs="Times New Roman"/>
                <w:b/>
                <w:sz w:val="24"/>
                <w:szCs w:val="24"/>
                <w:highlight w:val="yellow"/>
                <w:lang w:val="en-US"/>
              </w:rPr>
              <w:t>ETP</w:t>
            </w:r>
            <w:r w:rsidR="00487ED8">
              <w:rPr>
                <w:rFonts w:ascii="Times New Roman" w:hAnsi="Times New Roman" w:cs="Times New Roman"/>
                <w:b/>
                <w:sz w:val="24"/>
                <w:szCs w:val="24"/>
                <w:highlight w:val="yellow"/>
              </w:rPr>
              <w:t>, нмоль/</w:t>
            </w:r>
            <w:r w:rsidRPr="002D07CC">
              <w:rPr>
                <w:rFonts w:ascii="Times New Roman" w:hAnsi="Times New Roman" w:cs="Times New Roman"/>
                <w:b/>
                <w:sz w:val="24"/>
                <w:szCs w:val="24"/>
                <w:highlight w:val="yellow"/>
              </w:rPr>
              <w:t>мин</w:t>
            </w:r>
          </w:p>
        </w:tc>
        <w:tc>
          <w:tcPr>
            <w:tcW w:w="2152" w:type="dxa"/>
          </w:tcPr>
          <w:p w14:paraId="06DC7755" w14:textId="77777777" w:rsidR="001039BB" w:rsidRPr="002D07CC" w:rsidRDefault="001039BB" w:rsidP="001039BB">
            <w:pPr>
              <w:contextualSpacing/>
              <w:jc w:val="center"/>
              <w:rPr>
                <w:rFonts w:ascii="Times New Roman" w:hAnsi="Times New Roman" w:cs="Times New Roman"/>
                <w:sz w:val="24"/>
                <w:szCs w:val="24"/>
                <w:highlight w:val="yellow"/>
                <w:lang w:val="en-US"/>
              </w:rPr>
            </w:pPr>
            <w:r w:rsidRPr="002D07CC">
              <w:rPr>
                <w:rFonts w:ascii="Times New Roman" w:hAnsi="Times New Roman" w:cs="Times New Roman"/>
                <w:sz w:val="24"/>
                <w:szCs w:val="24"/>
                <w:highlight w:val="yellow"/>
                <w:lang w:val="en-US"/>
              </w:rPr>
              <w:t>1822,00</w:t>
            </w:r>
          </w:p>
          <w:p w14:paraId="5641D79B" w14:textId="52DAA5CF"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lang w:val="en-US"/>
              </w:rPr>
              <w:t>[1650,00-2070,00]</w:t>
            </w:r>
          </w:p>
        </w:tc>
        <w:tc>
          <w:tcPr>
            <w:tcW w:w="2268" w:type="dxa"/>
          </w:tcPr>
          <w:p w14:paraId="60B690BA" w14:textId="77777777" w:rsidR="001039BB" w:rsidRPr="002D07CC" w:rsidRDefault="001039BB" w:rsidP="00105B6F">
            <w:pPr>
              <w:contextualSpacing/>
              <w:jc w:val="center"/>
              <w:rPr>
                <w:rFonts w:ascii="Times New Roman" w:hAnsi="Times New Roman" w:cs="Times New Roman"/>
                <w:sz w:val="24"/>
                <w:szCs w:val="24"/>
                <w:highlight w:val="yellow"/>
                <w:lang w:val="en-US"/>
              </w:rPr>
            </w:pPr>
            <w:r w:rsidRPr="002D07CC">
              <w:rPr>
                <w:rFonts w:ascii="Times New Roman" w:hAnsi="Times New Roman" w:cs="Times New Roman"/>
                <w:sz w:val="24"/>
                <w:szCs w:val="24"/>
                <w:highlight w:val="yellow"/>
                <w:lang w:val="en-US"/>
              </w:rPr>
              <w:t>27</w:t>
            </w:r>
            <w:r w:rsidRPr="002D07CC">
              <w:rPr>
                <w:rFonts w:ascii="Times New Roman" w:hAnsi="Times New Roman" w:cs="Times New Roman"/>
                <w:sz w:val="24"/>
                <w:szCs w:val="24"/>
                <w:highlight w:val="yellow"/>
              </w:rPr>
              <w:t>78</w:t>
            </w:r>
            <w:r w:rsidRPr="002D07CC">
              <w:rPr>
                <w:rFonts w:ascii="Times New Roman" w:hAnsi="Times New Roman" w:cs="Times New Roman"/>
                <w:sz w:val="24"/>
                <w:szCs w:val="24"/>
                <w:highlight w:val="yellow"/>
                <w:lang w:val="en-US"/>
              </w:rPr>
              <w:t>,85</w:t>
            </w:r>
          </w:p>
          <w:p w14:paraId="36F94328" w14:textId="49176825" w:rsidR="001039BB" w:rsidRPr="002D07CC" w:rsidRDefault="001039BB" w:rsidP="00105B6F">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lang w:val="en-US"/>
              </w:rPr>
              <w:t>[26</w:t>
            </w:r>
            <w:r w:rsidRPr="002D07CC">
              <w:rPr>
                <w:rFonts w:ascii="Times New Roman" w:hAnsi="Times New Roman" w:cs="Times New Roman"/>
                <w:sz w:val="24"/>
                <w:szCs w:val="24"/>
                <w:highlight w:val="yellow"/>
              </w:rPr>
              <w:t>90</w:t>
            </w:r>
            <w:r w:rsidRPr="002D07CC">
              <w:rPr>
                <w:rFonts w:ascii="Times New Roman" w:hAnsi="Times New Roman" w:cs="Times New Roman"/>
                <w:sz w:val="24"/>
                <w:szCs w:val="24"/>
                <w:highlight w:val="yellow"/>
                <w:lang w:val="en-US"/>
              </w:rPr>
              <w:t>,25</w:t>
            </w:r>
            <w:r w:rsidRPr="002D07CC">
              <w:rPr>
                <w:rFonts w:ascii="Times New Roman" w:hAnsi="Times New Roman" w:cs="Times New Roman"/>
                <w:sz w:val="24"/>
                <w:szCs w:val="24"/>
                <w:highlight w:val="yellow"/>
              </w:rPr>
              <w:t>-3</w:t>
            </w:r>
            <w:r w:rsidRPr="002D07CC">
              <w:rPr>
                <w:rFonts w:ascii="Times New Roman" w:hAnsi="Times New Roman" w:cs="Times New Roman"/>
                <w:sz w:val="24"/>
                <w:szCs w:val="24"/>
                <w:highlight w:val="yellow"/>
                <w:lang w:val="en-US"/>
              </w:rPr>
              <w:t>0</w:t>
            </w:r>
            <w:r w:rsidRPr="002D07CC">
              <w:rPr>
                <w:rFonts w:ascii="Times New Roman" w:hAnsi="Times New Roman" w:cs="Times New Roman"/>
                <w:sz w:val="24"/>
                <w:szCs w:val="24"/>
                <w:highlight w:val="yellow"/>
              </w:rPr>
              <w:t>16</w:t>
            </w:r>
            <w:r w:rsidRPr="002D07CC">
              <w:rPr>
                <w:rFonts w:ascii="Times New Roman" w:hAnsi="Times New Roman" w:cs="Times New Roman"/>
                <w:sz w:val="24"/>
                <w:szCs w:val="24"/>
                <w:highlight w:val="yellow"/>
                <w:lang w:val="en-US"/>
              </w:rPr>
              <w:t>,05]</w:t>
            </w:r>
          </w:p>
        </w:tc>
        <w:tc>
          <w:tcPr>
            <w:tcW w:w="1134" w:type="dxa"/>
          </w:tcPr>
          <w:p w14:paraId="3849115E" w14:textId="024E2A9D" w:rsidR="001039BB" w:rsidRPr="002D07CC" w:rsidRDefault="001039BB" w:rsidP="00105B6F">
            <w:pPr>
              <w:jc w:val="center"/>
              <w:rPr>
                <w:rFonts w:ascii="Times New Roman" w:hAnsi="Times New Roman" w:cs="Times New Roman"/>
                <w:color w:val="000000"/>
                <w:sz w:val="24"/>
                <w:szCs w:val="24"/>
                <w:highlight w:val="yellow"/>
              </w:rPr>
            </w:pPr>
            <w:r w:rsidRPr="002D07CC">
              <w:rPr>
                <w:rFonts w:ascii="Times New Roman" w:hAnsi="Times New Roman" w:cs="Times New Roman"/>
                <w:color w:val="000000"/>
                <w:sz w:val="24"/>
                <w:szCs w:val="24"/>
                <w:highlight w:val="yellow"/>
              </w:rPr>
              <w:t>0,000</w:t>
            </w:r>
            <w:r w:rsidRPr="002D07CC">
              <w:rPr>
                <w:rFonts w:ascii="Times New Roman" w:hAnsi="Times New Roman" w:cs="Times New Roman"/>
                <w:color w:val="000000"/>
                <w:sz w:val="24"/>
                <w:szCs w:val="24"/>
                <w:highlight w:val="yellow"/>
                <w:lang w:val="en-US"/>
              </w:rPr>
              <w:t>1</w:t>
            </w:r>
          </w:p>
          <w:p w14:paraId="139213F3" w14:textId="77777777" w:rsidR="001039BB" w:rsidRPr="002D07CC" w:rsidRDefault="001039BB" w:rsidP="00105B6F">
            <w:pPr>
              <w:contextualSpacing/>
              <w:jc w:val="center"/>
              <w:rPr>
                <w:rFonts w:ascii="Times New Roman" w:hAnsi="Times New Roman" w:cs="Times New Roman"/>
                <w:b/>
                <w:sz w:val="24"/>
                <w:szCs w:val="24"/>
                <w:highlight w:val="yellow"/>
                <w:lang w:val="en-US"/>
              </w:rPr>
            </w:pPr>
          </w:p>
        </w:tc>
        <w:tc>
          <w:tcPr>
            <w:tcW w:w="1417" w:type="dxa"/>
          </w:tcPr>
          <w:p w14:paraId="66141084" w14:textId="2AB9CB33"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rPr>
              <w:t>15,47</w:t>
            </w:r>
          </w:p>
        </w:tc>
        <w:tc>
          <w:tcPr>
            <w:tcW w:w="1241" w:type="dxa"/>
          </w:tcPr>
          <w:p w14:paraId="2ACA7D7C" w14:textId="61BF8091"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rPr>
              <w:t>7,1</w:t>
            </w:r>
          </w:p>
        </w:tc>
      </w:tr>
      <w:tr w:rsidR="001039BB" w:rsidRPr="002D07CC" w14:paraId="248EA58E" w14:textId="77777777" w:rsidTr="00105B6F">
        <w:tc>
          <w:tcPr>
            <w:tcW w:w="1642" w:type="dxa"/>
          </w:tcPr>
          <w:p w14:paraId="75284B33" w14:textId="79C58CEB" w:rsidR="001039BB" w:rsidRPr="002D07CC" w:rsidRDefault="001039BB" w:rsidP="001039BB">
            <w:pPr>
              <w:contextualSpacing/>
              <w:rPr>
                <w:rFonts w:ascii="Times New Roman" w:hAnsi="Times New Roman" w:cs="Times New Roman"/>
                <w:b/>
                <w:sz w:val="24"/>
                <w:szCs w:val="24"/>
                <w:highlight w:val="yellow"/>
                <w:lang w:val="en-US"/>
              </w:rPr>
            </w:pPr>
            <w:r w:rsidRPr="002D07CC">
              <w:rPr>
                <w:rFonts w:ascii="Times New Roman" w:hAnsi="Times New Roman" w:cs="Times New Roman"/>
                <w:b/>
                <w:sz w:val="24"/>
                <w:szCs w:val="24"/>
                <w:highlight w:val="yellow"/>
                <w:lang w:val="en-US"/>
              </w:rPr>
              <w:t>Peak thr.</w:t>
            </w:r>
            <w:r w:rsidR="00487ED8">
              <w:rPr>
                <w:rFonts w:ascii="Times New Roman" w:hAnsi="Times New Roman" w:cs="Times New Roman"/>
                <w:b/>
                <w:sz w:val="24"/>
                <w:szCs w:val="24"/>
                <w:highlight w:val="yellow"/>
              </w:rPr>
              <w:t>, нмоль</w:t>
            </w:r>
          </w:p>
        </w:tc>
        <w:tc>
          <w:tcPr>
            <w:tcW w:w="2152" w:type="dxa"/>
          </w:tcPr>
          <w:p w14:paraId="2917DD4D" w14:textId="77777777" w:rsidR="001039BB" w:rsidRPr="002D07CC" w:rsidRDefault="001039BB" w:rsidP="001039BB">
            <w:pPr>
              <w:contextualSpacing/>
              <w:jc w:val="center"/>
              <w:rPr>
                <w:rFonts w:ascii="Times New Roman" w:hAnsi="Times New Roman" w:cs="Times New Roman"/>
                <w:sz w:val="24"/>
                <w:szCs w:val="24"/>
                <w:highlight w:val="yellow"/>
                <w:lang w:val="en-US"/>
              </w:rPr>
            </w:pPr>
            <w:r w:rsidRPr="002D07CC">
              <w:rPr>
                <w:rFonts w:ascii="Times New Roman" w:hAnsi="Times New Roman" w:cs="Times New Roman"/>
                <w:sz w:val="24"/>
                <w:szCs w:val="24"/>
                <w:highlight w:val="yellow"/>
                <w:lang w:val="en-US"/>
              </w:rPr>
              <w:t xml:space="preserve">279,70 </w:t>
            </w:r>
          </w:p>
          <w:p w14:paraId="25D9EC33" w14:textId="1391AA6B"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lang w:val="en-US"/>
              </w:rPr>
              <w:t>[2</w:t>
            </w:r>
            <w:r w:rsidRPr="002D07CC">
              <w:rPr>
                <w:rFonts w:ascii="Times New Roman" w:hAnsi="Times New Roman" w:cs="Times New Roman"/>
                <w:sz w:val="24"/>
                <w:szCs w:val="24"/>
                <w:highlight w:val="yellow"/>
              </w:rPr>
              <w:t>53</w:t>
            </w:r>
            <w:r w:rsidRPr="002D07CC">
              <w:rPr>
                <w:rFonts w:ascii="Times New Roman" w:hAnsi="Times New Roman" w:cs="Times New Roman"/>
                <w:sz w:val="24"/>
                <w:szCs w:val="24"/>
                <w:highlight w:val="yellow"/>
                <w:lang w:val="en-US"/>
              </w:rPr>
              <w:t>,90-294,60]</w:t>
            </w:r>
          </w:p>
        </w:tc>
        <w:tc>
          <w:tcPr>
            <w:tcW w:w="2268" w:type="dxa"/>
          </w:tcPr>
          <w:p w14:paraId="2F9CA96F" w14:textId="77777777" w:rsidR="001039BB" w:rsidRPr="002D07CC" w:rsidRDefault="001039BB" w:rsidP="00105B6F">
            <w:pPr>
              <w:contextualSpacing/>
              <w:jc w:val="center"/>
              <w:rPr>
                <w:rFonts w:ascii="Times New Roman" w:hAnsi="Times New Roman" w:cs="Times New Roman"/>
                <w:sz w:val="24"/>
                <w:szCs w:val="24"/>
                <w:highlight w:val="yellow"/>
                <w:lang w:val="en-US"/>
              </w:rPr>
            </w:pPr>
            <w:r w:rsidRPr="002D07CC">
              <w:rPr>
                <w:rFonts w:ascii="Times New Roman" w:hAnsi="Times New Roman" w:cs="Times New Roman"/>
                <w:sz w:val="24"/>
                <w:szCs w:val="24"/>
                <w:highlight w:val="yellow"/>
                <w:lang w:val="en-US"/>
              </w:rPr>
              <w:t>333,9</w:t>
            </w:r>
          </w:p>
          <w:p w14:paraId="34471FFE" w14:textId="281CD254" w:rsidR="001039BB" w:rsidRPr="002D07CC" w:rsidRDefault="001039BB" w:rsidP="00105B6F">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lang w:val="en-US"/>
              </w:rPr>
              <w:t>[237,9 - 434,2]</w:t>
            </w:r>
          </w:p>
        </w:tc>
        <w:tc>
          <w:tcPr>
            <w:tcW w:w="1134" w:type="dxa"/>
          </w:tcPr>
          <w:p w14:paraId="662C0276" w14:textId="77777777" w:rsidR="001039BB" w:rsidRPr="002D07CC" w:rsidRDefault="001039BB" w:rsidP="00105B6F">
            <w:pPr>
              <w:contextualSpacing/>
              <w:jc w:val="center"/>
              <w:rPr>
                <w:rFonts w:ascii="Times New Roman" w:hAnsi="Times New Roman" w:cs="Times New Roman"/>
                <w:sz w:val="24"/>
                <w:szCs w:val="24"/>
                <w:highlight w:val="yellow"/>
              </w:rPr>
            </w:pPr>
            <w:r w:rsidRPr="002D07CC">
              <w:rPr>
                <w:rFonts w:ascii="Times New Roman" w:hAnsi="Times New Roman" w:cs="Times New Roman"/>
                <w:sz w:val="24"/>
                <w:szCs w:val="24"/>
                <w:highlight w:val="yellow"/>
              </w:rPr>
              <w:t>0,135</w:t>
            </w:r>
          </w:p>
          <w:p w14:paraId="27A32758" w14:textId="77777777" w:rsidR="001039BB" w:rsidRPr="002D07CC" w:rsidRDefault="001039BB" w:rsidP="00105B6F">
            <w:pPr>
              <w:contextualSpacing/>
              <w:jc w:val="center"/>
              <w:rPr>
                <w:rFonts w:ascii="Times New Roman" w:hAnsi="Times New Roman" w:cs="Times New Roman"/>
                <w:b/>
                <w:sz w:val="24"/>
                <w:szCs w:val="24"/>
                <w:highlight w:val="yellow"/>
                <w:lang w:val="en-US"/>
              </w:rPr>
            </w:pPr>
          </w:p>
        </w:tc>
        <w:tc>
          <w:tcPr>
            <w:tcW w:w="1417" w:type="dxa"/>
          </w:tcPr>
          <w:p w14:paraId="39292D2A" w14:textId="34B52B4F"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rPr>
              <w:t>15,74</w:t>
            </w:r>
          </w:p>
        </w:tc>
        <w:tc>
          <w:tcPr>
            <w:tcW w:w="1241" w:type="dxa"/>
          </w:tcPr>
          <w:p w14:paraId="7BB6880F" w14:textId="0AB42A2C"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rPr>
              <w:t>20,68</w:t>
            </w:r>
          </w:p>
        </w:tc>
      </w:tr>
      <w:tr w:rsidR="001039BB" w:rsidRPr="002D07CC" w14:paraId="373E4D90" w14:textId="77777777" w:rsidTr="00105B6F">
        <w:tc>
          <w:tcPr>
            <w:tcW w:w="1642" w:type="dxa"/>
          </w:tcPr>
          <w:p w14:paraId="23F8C268" w14:textId="77777777" w:rsidR="00105B6F" w:rsidRPr="002D07CC" w:rsidRDefault="001039BB" w:rsidP="001039BB">
            <w:pPr>
              <w:contextualSpacing/>
              <w:rPr>
                <w:rFonts w:ascii="Times New Roman" w:hAnsi="Times New Roman" w:cs="Times New Roman"/>
                <w:b/>
                <w:sz w:val="24"/>
                <w:szCs w:val="24"/>
                <w:highlight w:val="yellow"/>
              </w:rPr>
            </w:pPr>
            <w:r w:rsidRPr="002D07CC">
              <w:rPr>
                <w:rFonts w:ascii="Times New Roman" w:hAnsi="Times New Roman" w:cs="Times New Roman"/>
                <w:b/>
                <w:sz w:val="24"/>
                <w:szCs w:val="24"/>
                <w:highlight w:val="yellow"/>
                <w:lang w:val="en-US"/>
              </w:rPr>
              <w:t>ttPeak</w:t>
            </w:r>
            <w:r w:rsidRPr="002D07CC">
              <w:rPr>
                <w:rFonts w:ascii="Times New Roman" w:hAnsi="Times New Roman" w:cs="Times New Roman"/>
                <w:b/>
                <w:sz w:val="24"/>
                <w:szCs w:val="24"/>
                <w:highlight w:val="yellow"/>
              </w:rPr>
              <w:t xml:space="preserve">, </w:t>
            </w:r>
          </w:p>
          <w:p w14:paraId="0F72070A" w14:textId="5C9D920C" w:rsidR="001039BB" w:rsidRPr="002D07CC" w:rsidRDefault="001039BB" w:rsidP="001039BB">
            <w:pPr>
              <w:contextualSpacing/>
              <w:rPr>
                <w:rFonts w:ascii="Times New Roman" w:hAnsi="Times New Roman" w:cs="Times New Roman"/>
                <w:b/>
                <w:sz w:val="24"/>
                <w:szCs w:val="24"/>
                <w:highlight w:val="yellow"/>
                <w:lang w:val="en-US"/>
              </w:rPr>
            </w:pPr>
            <w:r w:rsidRPr="002D07CC">
              <w:rPr>
                <w:rFonts w:ascii="Times New Roman" w:hAnsi="Times New Roman" w:cs="Times New Roman"/>
                <w:b/>
                <w:sz w:val="24"/>
                <w:szCs w:val="24"/>
                <w:highlight w:val="yellow"/>
              </w:rPr>
              <w:t>мин</w:t>
            </w:r>
          </w:p>
        </w:tc>
        <w:tc>
          <w:tcPr>
            <w:tcW w:w="2152" w:type="dxa"/>
          </w:tcPr>
          <w:p w14:paraId="56437D5F" w14:textId="77777777" w:rsidR="001039BB" w:rsidRPr="002D07CC" w:rsidRDefault="001039BB" w:rsidP="001039BB">
            <w:pPr>
              <w:contextualSpacing/>
              <w:jc w:val="center"/>
              <w:rPr>
                <w:rFonts w:ascii="Times New Roman" w:hAnsi="Times New Roman" w:cs="Times New Roman"/>
                <w:sz w:val="24"/>
                <w:szCs w:val="24"/>
                <w:highlight w:val="yellow"/>
                <w:lang w:val="en-US"/>
              </w:rPr>
            </w:pPr>
            <w:r w:rsidRPr="002D07CC">
              <w:rPr>
                <w:rFonts w:ascii="Times New Roman" w:hAnsi="Times New Roman" w:cs="Times New Roman"/>
                <w:sz w:val="24"/>
                <w:szCs w:val="24"/>
                <w:highlight w:val="yellow"/>
                <w:lang w:val="en-US"/>
              </w:rPr>
              <w:t xml:space="preserve">6,33 </w:t>
            </w:r>
          </w:p>
          <w:p w14:paraId="2484C4EE" w14:textId="762D8FAF"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lang w:val="en-US"/>
              </w:rPr>
              <w:t>[5,60- 6,83]</w:t>
            </w:r>
          </w:p>
        </w:tc>
        <w:tc>
          <w:tcPr>
            <w:tcW w:w="2268" w:type="dxa"/>
          </w:tcPr>
          <w:p w14:paraId="74BDB389" w14:textId="77777777" w:rsidR="001039BB" w:rsidRPr="002D07CC" w:rsidRDefault="001039BB" w:rsidP="00105B6F">
            <w:pPr>
              <w:contextualSpacing/>
              <w:jc w:val="center"/>
              <w:rPr>
                <w:rFonts w:ascii="Times New Roman" w:hAnsi="Times New Roman" w:cs="Times New Roman"/>
                <w:sz w:val="24"/>
                <w:szCs w:val="24"/>
                <w:highlight w:val="yellow"/>
                <w:lang w:val="en-US"/>
              </w:rPr>
            </w:pPr>
            <w:r w:rsidRPr="002D07CC">
              <w:rPr>
                <w:rFonts w:ascii="Times New Roman" w:hAnsi="Times New Roman" w:cs="Times New Roman"/>
                <w:sz w:val="24"/>
                <w:szCs w:val="24"/>
                <w:highlight w:val="yellow"/>
              </w:rPr>
              <w:t>5,70</w:t>
            </w:r>
          </w:p>
          <w:p w14:paraId="14839E14" w14:textId="2C9D7280" w:rsidR="001039BB" w:rsidRPr="002D07CC" w:rsidRDefault="001039BB" w:rsidP="00105B6F">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lang w:val="en-US"/>
              </w:rPr>
              <w:t>[</w:t>
            </w:r>
            <w:r w:rsidRPr="002D07CC">
              <w:rPr>
                <w:rFonts w:ascii="Times New Roman" w:hAnsi="Times New Roman" w:cs="Times New Roman"/>
                <w:sz w:val="24"/>
                <w:szCs w:val="24"/>
                <w:highlight w:val="yellow"/>
              </w:rPr>
              <w:t>5,08</w:t>
            </w:r>
            <w:r w:rsidRPr="002D07CC">
              <w:rPr>
                <w:rFonts w:ascii="Times New Roman" w:hAnsi="Times New Roman" w:cs="Times New Roman"/>
                <w:sz w:val="24"/>
                <w:szCs w:val="24"/>
                <w:highlight w:val="yellow"/>
                <w:lang w:val="en-US"/>
              </w:rPr>
              <w:t xml:space="preserve"> - </w:t>
            </w:r>
            <w:r w:rsidRPr="002D07CC">
              <w:rPr>
                <w:rFonts w:ascii="Times New Roman" w:hAnsi="Times New Roman" w:cs="Times New Roman"/>
                <w:sz w:val="24"/>
                <w:szCs w:val="24"/>
                <w:highlight w:val="yellow"/>
              </w:rPr>
              <w:t>6,60</w:t>
            </w:r>
            <w:r w:rsidRPr="002D07CC">
              <w:rPr>
                <w:rFonts w:ascii="Times New Roman" w:hAnsi="Times New Roman" w:cs="Times New Roman"/>
                <w:sz w:val="24"/>
                <w:szCs w:val="24"/>
                <w:highlight w:val="yellow"/>
                <w:lang w:val="en-US"/>
              </w:rPr>
              <w:t>]</w:t>
            </w:r>
          </w:p>
        </w:tc>
        <w:tc>
          <w:tcPr>
            <w:tcW w:w="1134" w:type="dxa"/>
          </w:tcPr>
          <w:p w14:paraId="4167555D" w14:textId="77777777" w:rsidR="001039BB" w:rsidRPr="002D07CC" w:rsidRDefault="001039BB" w:rsidP="00105B6F">
            <w:pPr>
              <w:contextualSpacing/>
              <w:jc w:val="center"/>
              <w:rPr>
                <w:rFonts w:ascii="Times New Roman" w:hAnsi="Times New Roman" w:cs="Times New Roman"/>
                <w:sz w:val="24"/>
                <w:szCs w:val="24"/>
                <w:highlight w:val="yellow"/>
              </w:rPr>
            </w:pPr>
            <w:r w:rsidRPr="002D07CC">
              <w:rPr>
                <w:rFonts w:ascii="Times New Roman" w:hAnsi="Times New Roman" w:cs="Times New Roman"/>
                <w:sz w:val="24"/>
                <w:szCs w:val="24"/>
                <w:highlight w:val="yellow"/>
              </w:rPr>
              <w:t>0,521</w:t>
            </w:r>
          </w:p>
          <w:p w14:paraId="185420E9" w14:textId="77777777" w:rsidR="001039BB" w:rsidRPr="002D07CC" w:rsidRDefault="001039BB" w:rsidP="00105B6F">
            <w:pPr>
              <w:contextualSpacing/>
              <w:jc w:val="center"/>
              <w:rPr>
                <w:rFonts w:ascii="Times New Roman" w:hAnsi="Times New Roman" w:cs="Times New Roman"/>
                <w:b/>
                <w:sz w:val="24"/>
                <w:szCs w:val="24"/>
                <w:highlight w:val="yellow"/>
                <w:lang w:val="en-US"/>
              </w:rPr>
            </w:pPr>
          </w:p>
        </w:tc>
        <w:tc>
          <w:tcPr>
            <w:tcW w:w="1417" w:type="dxa"/>
          </w:tcPr>
          <w:p w14:paraId="6E7F5499" w14:textId="254B4FFD"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rPr>
              <w:t>14,35</w:t>
            </w:r>
          </w:p>
        </w:tc>
        <w:tc>
          <w:tcPr>
            <w:tcW w:w="1241" w:type="dxa"/>
          </w:tcPr>
          <w:p w14:paraId="25DD5623" w14:textId="3CC29840"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rPr>
              <w:t>18,14</w:t>
            </w:r>
          </w:p>
        </w:tc>
      </w:tr>
      <w:tr w:rsidR="001039BB" w:rsidRPr="002D07CC" w14:paraId="7B0AE1A6" w14:textId="77777777" w:rsidTr="00105B6F">
        <w:tc>
          <w:tcPr>
            <w:tcW w:w="1642" w:type="dxa"/>
          </w:tcPr>
          <w:p w14:paraId="6C3266C6" w14:textId="7A65F682" w:rsidR="001039BB" w:rsidRPr="002D07CC" w:rsidRDefault="001039BB" w:rsidP="001039BB">
            <w:pPr>
              <w:contextualSpacing/>
              <w:rPr>
                <w:rFonts w:ascii="Times New Roman" w:hAnsi="Times New Roman" w:cs="Times New Roman"/>
                <w:b/>
                <w:sz w:val="24"/>
                <w:szCs w:val="24"/>
                <w:highlight w:val="yellow"/>
                <w:lang w:val="en-US"/>
              </w:rPr>
            </w:pPr>
            <w:r w:rsidRPr="002D07CC">
              <w:rPr>
                <w:rFonts w:ascii="Times New Roman" w:hAnsi="Times New Roman" w:cs="Times New Roman"/>
                <w:b/>
                <w:sz w:val="24"/>
                <w:szCs w:val="24"/>
                <w:highlight w:val="yellow"/>
                <w:lang w:val="en-US"/>
              </w:rPr>
              <w:t>VI</w:t>
            </w:r>
            <w:r w:rsidRPr="002D07CC">
              <w:rPr>
                <w:rFonts w:ascii="Times New Roman" w:hAnsi="Times New Roman" w:cs="Times New Roman"/>
                <w:b/>
                <w:sz w:val="24"/>
                <w:szCs w:val="24"/>
                <w:highlight w:val="yellow"/>
              </w:rPr>
              <w:t>, нмоль/мин</w:t>
            </w:r>
          </w:p>
        </w:tc>
        <w:tc>
          <w:tcPr>
            <w:tcW w:w="2152" w:type="dxa"/>
          </w:tcPr>
          <w:p w14:paraId="4CEE152C" w14:textId="77777777" w:rsidR="001039BB" w:rsidRPr="002D07CC" w:rsidRDefault="001039BB" w:rsidP="001039BB">
            <w:pPr>
              <w:contextualSpacing/>
              <w:jc w:val="center"/>
              <w:rPr>
                <w:rFonts w:ascii="Times New Roman" w:hAnsi="Times New Roman" w:cs="Times New Roman"/>
                <w:sz w:val="24"/>
                <w:szCs w:val="24"/>
                <w:highlight w:val="yellow"/>
              </w:rPr>
            </w:pPr>
            <w:r w:rsidRPr="002D07CC">
              <w:rPr>
                <w:rFonts w:ascii="Times New Roman" w:hAnsi="Times New Roman" w:cs="Times New Roman"/>
                <w:sz w:val="24"/>
                <w:szCs w:val="24"/>
                <w:highlight w:val="yellow"/>
              </w:rPr>
              <w:t>74,54</w:t>
            </w:r>
          </w:p>
          <w:p w14:paraId="649DB57C" w14:textId="64AF28B3"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lang w:val="en-US"/>
              </w:rPr>
              <w:t>[</w:t>
            </w:r>
            <w:r w:rsidRPr="002D07CC">
              <w:rPr>
                <w:rFonts w:ascii="Times New Roman" w:hAnsi="Times New Roman" w:cs="Times New Roman"/>
                <w:sz w:val="24"/>
                <w:szCs w:val="24"/>
                <w:highlight w:val="yellow"/>
              </w:rPr>
              <w:t>66,27</w:t>
            </w:r>
            <w:r w:rsidRPr="002D07CC">
              <w:rPr>
                <w:rFonts w:ascii="Times New Roman" w:hAnsi="Times New Roman" w:cs="Times New Roman"/>
                <w:sz w:val="24"/>
                <w:szCs w:val="24"/>
                <w:highlight w:val="yellow"/>
                <w:lang w:val="en-US"/>
              </w:rPr>
              <w:t>-</w:t>
            </w:r>
            <w:r w:rsidRPr="002D07CC">
              <w:rPr>
                <w:rFonts w:ascii="Times New Roman" w:hAnsi="Times New Roman" w:cs="Times New Roman"/>
                <w:sz w:val="24"/>
                <w:szCs w:val="24"/>
                <w:highlight w:val="yellow"/>
              </w:rPr>
              <w:t>90</w:t>
            </w:r>
            <w:r w:rsidRPr="002D07CC">
              <w:rPr>
                <w:rFonts w:ascii="Times New Roman" w:hAnsi="Times New Roman" w:cs="Times New Roman"/>
                <w:sz w:val="24"/>
                <w:szCs w:val="24"/>
                <w:highlight w:val="yellow"/>
                <w:lang w:val="en-US"/>
              </w:rPr>
              <w:t>,</w:t>
            </w:r>
            <w:r w:rsidRPr="002D07CC">
              <w:rPr>
                <w:rFonts w:ascii="Times New Roman" w:hAnsi="Times New Roman" w:cs="Times New Roman"/>
                <w:sz w:val="24"/>
                <w:szCs w:val="24"/>
                <w:highlight w:val="yellow"/>
              </w:rPr>
              <w:t>42</w:t>
            </w:r>
            <w:r w:rsidRPr="002D07CC">
              <w:rPr>
                <w:rFonts w:ascii="Times New Roman" w:hAnsi="Times New Roman" w:cs="Times New Roman"/>
                <w:sz w:val="24"/>
                <w:szCs w:val="24"/>
                <w:highlight w:val="yellow"/>
                <w:lang w:val="en-US"/>
              </w:rPr>
              <w:t>]</w:t>
            </w:r>
          </w:p>
        </w:tc>
        <w:tc>
          <w:tcPr>
            <w:tcW w:w="2268" w:type="dxa"/>
          </w:tcPr>
          <w:p w14:paraId="2F3E6959" w14:textId="77777777" w:rsidR="001039BB" w:rsidRPr="002D07CC" w:rsidRDefault="001039BB" w:rsidP="00105B6F">
            <w:pPr>
              <w:contextualSpacing/>
              <w:jc w:val="center"/>
              <w:rPr>
                <w:rFonts w:ascii="Times New Roman" w:hAnsi="Times New Roman" w:cs="Times New Roman"/>
                <w:sz w:val="24"/>
                <w:szCs w:val="24"/>
                <w:highlight w:val="yellow"/>
                <w:lang w:val="en-US"/>
              </w:rPr>
            </w:pPr>
            <w:r w:rsidRPr="002D07CC">
              <w:rPr>
                <w:rFonts w:ascii="Times New Roman" w:hAnsi="Times New Roman" w:cs="Times New Roman"/>
                <w:sz w:val="24"/>
                <w:szCs w:val="24"/>
                <w:highlight w:val="yellow"/>
                <w:lang w:val="en-US"/>
              </w:rPr>
              <w:t>90,60</w:t>
            </w:r>
          </w:p>
          <w:p w14:paraId="1148441F" w14:textId="085C54CD" w:rsidR="001039BB" w:rsidRPr="002D07CC" w:rsidRDefault="001039BB" w:rsidP="00105B6F">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lang w:val="en-US"/>
              </w:rPr>
              <w:t>[57,05-131,20]</w:t>
            </w:r>
          </w:p>
        </w:tc>
        <w:tc>
          <w:tcPr>
            <w:tcW w:w="1134" w:type="dxa"/>
          </w:tcPr>
          <w:p w14:paraId="1C6A0639" w14:textId="3442AB3A" w:rsidR="001039BB" w:rsidRPr="002D07CC" w:rsidRDefault="001039BB" w:rsidP="00105B6F">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rPr>
              <w:t>0,531</w:t>
            </w:r>
          </w:p>
        </w:tc>
        <w:tc>
          <w:tcPr>
            <w:tcW w:w="1417" w:type="dxa"/>
          </w:tcPr>
          <w:p w14:paraId="2A7D6B96" w14:textId="55487207"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rPr>
              <w:t>32,17</w:t>
            </w:r>
          </w:p>
        </w:tc>
        <w:tc>
          <w:tcPr>
            <w:tcW w:w="1241" w:type="dxa"/>
          </w:tcPr>
          <w:p w14:paraId="289519C8" w14:textId="1057A6EB"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rPr>
              <w:t>36,8</w:t>
            </w:r>
          </w:p>
        </w:tc>
      </w:tr>
      <w:tr w:rsidR="001039BB" w:rsidRPr="002D07CC" w14:paraId="11119F7B" w14:textId="77777777" w:rsidTr="001039BB">
        <w:tc>
          <w:tcPr>
            <w:tcW w:w="9854" w:type="dxa"/>
            <w:gridSpan w:val="6"/>
          </w:tcPr>
          <w:p w14:paraId="07EFAECD" w14:textId="74B9D2BB"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b/>
                <w:sz w:val="24"/>
                <w:szCs w:val="24"/>
                <w:highlight w:val="yellow"/>
              </w:rPr>
              <w:t>Данные после нормализации</w:t>
            </w:r>
          </w:p>
        </w:tc>
      </w:tr>
      <w:tr w:rsidR="001039BB" w:rsidRPr="002D07CC" w14:paraId="68D728E0" w14:textId="77777777" w:rsidTr="00105B6F">
        <w:tc>
          <w:tcPr>
            <w:tcW w:w="1642" w:type="dxa"/>
          </w:tcPr>
          <w:p w14:paraId="6C1FDD37" w14:textId="34A25C61" w:rsidR="001039BB" w:rsidRPr="002D07CC" w:rsidRDefault="001039BB" w:rsidP="001039BB">
            <w:pPr>
              <w:contextualSpacing/>
              <w:rPr>
                <w:rFonts w:ascii="Times New Roman" w:hAnsi="Times New Roman" w:cs="Times New Roman"/>
                <w:b/>
                <w:sz w:val="24"/>
                <w:szCs w:val="24"/>
                <w:highlight w:val="yellow"/>
                <w:lang w:val="en-US"/>
              </w:rPr>
            </w:pPr>
            <w:r w:rsidRPr="002D07CC">
              <w:rPr>
                <w:rFonts w:ascii="Times New Roman" w:hAnsi="Times New Roman" w:cs="Times New Roman"/>
                <w:b/>
                <w:color w:val="000000"/>
                <w:sz w:val="24"/>
                <w:szCs w:val="24"/>
                <w:highlight w:val="yellow"/>
              </w:rPr>
              <w:t>LagTime</w:t>
            </w:r>
            <w:r w:rsidRPr="002D07CC">
              <w:rPr>
                <w:rFonts w:ascii="Times New Roman" w:hAnsi="Times New Roman" w:cs="Times New Roman"/>
                <w:b/>
                <w:color w:val="000000"/>
                <w:sz w:val="24"/>
                <w:szCs w:val="24"/>
                <w:highlight w:val="yellow"/>
                <w:lang w:val="en-US"/>
              </w:rPr>
              <w:t>, %</w:t>
            </w:r>
          </w:p>
        </w:tc>
        <w:tc>
          <w:tcPr>
            <w:tcW w:w="2152" w:type="dxa"/>
          </w:tcPr>
          <w:p w14:paraId="18291E97" w14:textId="77777777" w:rsidR="001039BB" w:rsidRPr="002D07CC" w:rsidRDefault="001039BB" w:rsidP="001039BB">
            <w:pPr>
              <w:contextualSpacing/>
              <w:jc w:val="center"/>
              <w:rPr>
                <w:rFonts w:ascii="Times New Roman" w:hAnsi="Times New Roman" w:cs="Times New Roman"/>
                <w:sz w:val="24"/>
                <w:szCs w:val="24"/>
                <w:highlight w:val="yellow"/>
                <w:lang w:val="en-US"/>
              </w:rPr>
            </w:pPr>
            <w:r w:rsidRPr="002D07CC">
              <w:rPr>
                <w:rFonts w:ascii="Times New Roman" w:hAnsi="Times New Roman" w:cs="Times New Roman"/>
                <w:sz w:val="24"/>
                <w:szCs w:val="24"/>
                <w:highlight w:val="yellow"/>
                <w:lang w:val="en-US"/>
              </w:rPr>
              <w:t>93,63</w:t>
            </w:r>
          </w:p>
          <w:p w14:paraId="1D767547" w14:textId="7C875633"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lang w:val="en-US"/>
              </w:rPr>
              <w:t>[87,83 - 108,70]</w:t>
            </w:r>
          </w:p>
        </w:tc>
        <w:tc>
          <w:tcPr>
            <w:tcW w:w="2268" w:type="dxa"/>
          </w:tcPr>
          <w:p w14:paraId="5A66475C" w14:textId="77777777" w:rsidR="001039BB" w:rsidRPr="002D07CC" w:rsidRDefault="001039BB" w:rsidP="001039BB">
            <w:pPr>
              <w:contextualSpacing/>
              <w:jc w:val="center"/>
              <w:rPr>
                <w:rFonts w:ascii="Times New Roman" w:hAnsi="Times New Roman" w:cs="Times New Roman"/>
                <w:sz w:val="24"/>
                <w:szCs w:val="24"/>
                <w:highlight w:val="yellow"/>
                <w:lang w:val="en-US"/>
              </w:rPr>
            </w:pPr>
            <w:r w:rsidRPr="002D07CC">
              <w:rPr>
                <w:rFonts w:ascii="Times New Roman" w:hAnsi="Times New Roman" w:cs="Times New Roman"/>
                <w:sz w:val="24"/>
                <w:szCs w:val="24"/>
                <w:highlight w:val="yellow"/>
                <w:lang w:val="en-US"/>
              </w:rPr>
              <w:t>90,91</w:t>
            </w:r>
          </w:p>
          <w:p w14:paraId="647DE6A7" w14:textId="20CC76A8"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lang w:val="en-US"/>
              </w:rPr>
              <w:t>[81,82-100,0]</w:t>
            </w:r>
          </w:p>
        </w:tc>
        <w:tc>
          <w:tcPr>
            <w:tcW w:w="1134" w:type="dxa"/>
          </w:tcPr>
          <w:p w14:paraId="4D0687E8" w14:textId="6F754965"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rPr>
              <w:t>0,152</w:t>
            </w:r>
          </w:p>
        </w:tc>
        <w:tc>
          <w:tcPr>
            <w:tcW w:w="1417" w:type="dxa"/>
          </w:tcPr>
          <w:p w14:paraId="0E98B70F" w14:textId="796DCE2F"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rPr>
              <w:t>18,17</w:t>
            </w:r>
          </w:p>
        </w:tc>
        <w:tc>
          <w:tcPr>
            <w:tcW w:w="1241" w:type="dxa"/>
          </w:tcPr>
          <w:p w14:paraId="13B383E2" w14:textId="3844A487"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rPr>
              <w:t>12,59</w:t>
            </w:r>
          </w:p>
        </w:tc>
      </w:tr>
      <w:tr w:rsidR="001039BB" w:rsidRPr="002D07CC" w14:paraId="035AE13E" w14:textId="77777777" w:rsidTr="00105B6F">
        <w:tc>
          <w:tcPr>
            <w:tcW w:w="1642" w:type="dxa"/>
          </w:tcPr>
          <w:p w14:paraId="214806EC" w14:textId="53BECF73" w:rsidR="001039BB" w:rsidRPr="002D07CC" w:rsidRDefault="001039BB" w:rsidP="001039BB">
            <w:pPr>
              <w:contextualSpacing/>
              <w:rPr>
                <w:rFonts w:ascii="Times New Roman" w:hAnsi="Times New Roman" w:cs="Times New Roman"/>
                <w:b/>
                <w:sz w:val="24"/>
                <w:szCs w:val="24"/>
                <w:highlight w:val="yellow"/>
                <w:lang w:val="en-US"/>
              </w:rPr>
            </w:pPr>
            <w:r w:rsidRPr="002D07CC">
              <w:rPr>
                <w:rFonts w:ascii="Times New Roman" w:hAnsi="Times New Roman" w:cs="Times New Roman"/>
                <w:b/>
                <w:sz w:val="24"/>
                <w:szCs w:val="24"/>
                <w:highlight w:val="yellow"/>
                <w:lang w:val="en-US"/>
              </w:rPr>
              <w:t>ETP</w:t>
            </w:r>
            <w:r w:rsidRPr="002D07CC">
              <w:rPr>
                <w:rFonts w:ascii="Times New Roman" w:hAnsi="Times New Roman" w:cs="Times New Roman"/>
                <w:b/>
                <w:color w:val="000000"/>
                <w:sz w:val="24"/>
                <w:szCs w:val="24"/>
                <w:highlight w:val="yellow"/>
                <w:lang w:val="en-US"/>
              </w:rPr>
              <w:t>, %</w:t>
            </w:r>
          </w:p>
        </w:tc>
        <w:tc>
          <w:tcPr>
            <w:tcW w:w="2152" w:type="dxa"/>
          </w:tcPr>
          <w:p w14:paraId="6F02F070" w14:textId="77777777" w:rsidR="001039BB" w:rsidRPr="002D07CC" w:rsidRDefault="001039BB" w:rsidP="001039BB">
            <w:pPr>
              <w:contextualSpacing/>
              <w:jc w:val="center"/>
              <w:rPr>
                <w:rFonts w:ascii="Times New Roman" w:hAnsi="Times New Roman" w:cs="Times New Roman"/>
                <w:sz w:val="24"/>
                <w:szCs w:val="24"/>
                <w:highlight w:val="yellow"/>
                <w:lang w:val="en-US"/>
              </w:rPr>
            </w:pPr>
            <w:r w:rsidRPr="002D07CC">
              <w:rPr>
                <w:rFonts w:ascii="Times New Roman" w:hAnsi="Times New Roman" w:cs="Times New Roman"/>
                <w:sz w:val="24"/>
                <w:szCs w:val="24"/>
                <w:highlight w:val="yellow"/>
                <w:lang w:val="en-US"/>
              </w:rPr>
              <w:t>110,83</w:t>
            </w:r>
          </w:p>
          <w:p w14:paraId="633E54A3" w14:textId="5ECEFA16"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lang w:val="en-US"/>
              </w:rPr>
              <w:t>[101,84-</w:t>
            </w:r>
            <w:r w:rsidRPr="002D07CC">
              <w:rPr>
                <w:rFonts w:ascii="Times New Roman" w:hAnsi="Times New Roman" w:cs="Times New Roman"/>
                <w:sz w:val="24"/>
                <w:szCs w:val="24"/>
                <w:highlight w:val="yellow"/>
              </w:rPr>
              <w:t>125</w:t>
            </w:r>
            <w:r w:rsidRPr="002D07CC">
              <w:rPr>
                <w:rFonts w:ascii="Times New Roman" w:hAnsi="Times New Roman" w:cs="Times New Roman"/>
                <w:sz w:val="24"/>
                <w:szCs w:val="24"/>
                <w:highlight w:val="yellow"/>
                <w:lang w:val="en-US"/>
              </w:rPr>
              <w:t>,00]</w:t>
            </w:r>
          </w:p>
        </w:tc>
        <w:tc>
          <w:tcPr>
            <w:tcW w:w="2268" w:type="dxa"/>
          </w:tcPr>
          <w:p w14:paraId="5EF0C387" w14:textId="77777777" w:rsidR="001039BB" w:rsidRPr="002D07CC" w:rsidRDefault="001039BB" w:rsidP="001039BB">
            <w:pPr>
              <w:contextualSpacing/>
              <w:jc w:val="center"/>
              <w:rPr>
                <w:rFonts w:ascii="Times New Roman" w:hAnsi="Times New Roman" w:cs="Times New Roman"/>
                <w:sz w:val="24"/>
                <w:szCs w:val="24"/>
                <w:highlight w:val="yellow"/>
                <w:lang w:val="en-US"/>
              </w:rPr>
            </w:pPr>
            <w:r w:rsidRPr="002D07CC">
              <w:rPr>
                <w:rFonts w:ascii="Times New Roman" w:hAnsi="Times New Roman" w:cs="Times New Roman"/>
                <w:sz w:val="24"/>
                <w:szCs w:val="24"/>
                <w:highlight w:val="yellow"/>
                <w:lang w:val="en-US"/>
              </w:rPr>
              <w:t>99,27</w:t>
            </w:r>
          </w:p>
          <w:p w14:paraId="6941E74D" w14:textId="5589EA3C"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lang w:val="en-US"/>
              </w:rPr>
              <w:t>[95,98-107,1]</w:t>
            </w:r>
          </w:p>
        </w:tc>
        <w:tc>
          <w:tcPr>
            <w:tcW w:w="1134" w:type="dxa"/>
          </w:tcPr>
          <w:p w14:paraId="20535901" w14:textId="608AB296"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rPr>
              <w:t>0,001</w:t>
            </w:r>
          </w:p>
        </w:tc>
        <w:tc>
          <w:tcPr>
            <w:tcW w:w="1417" w:type="dxa"/>
          </w:tcPr>
          <w:p w14:paraId="388A41A6" w14:textId="048BCF39"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rPr>
              <w:t>15,76</w:t>
            </w:r>
          </w:p>
        </w:tc>
        <w:tc>
          <w:tcPr>
            <w:tcW w:w="1241" w:type="dxa"/>
          </w:tcPr>
          <w:p w14:paraId="2B053F51" w14:textId="3C689ED8"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rPr>
              <w:t>6,6</w:t>
            </w:r>
          </w:p>
        </w:tc>
      </w:tr>
      <w:tr w:rsidR="001039BB" w:rsidRPr="002D07CC" w14:paraId="016556FD" w14:textId="77777777" w:rsidTr="00105B6F">
        <w:tc>
          <w:tcPr>
            <w:tcW w:w="1642" w:type="dxa"/>
          </w:tcPr>
          <w:p w14:paraId="507FC0B1" w14:textId="5A29634A" w:rsidR="001039BB" w:rsidRPr="002D07CC" w:rsidRDefault="001039BB" w:rsidP="001039BB">
            <w:pPr>
              <w:contextualSpacing/>
              <w:rPr>
                <w:rFonts w:ascii="Times New Roman" w:hAnsi="Times New Roman" w:cs="Times New Roman"/>
                <w:b/>
                <w:sz w:val="24"/>
                <w:szCs w:val="24"/>
                <w:highlight w:val="yellow"/>
                <w:lang w:val="en-US"/>
              </w:rPr>
            </w:pPr>
            <w:r w:rsidRPr="002D07CC">
              <w:rPr>
                <w:rFonts w:ascii="Times New Roman" w:hAnsi="Times New Roman" w:cs="Times New Roman"/>
                <w:b/>
                <w:sz w:val="24"/>
                <w:szCs w:val="24"/>
                <w:highlight w:val="yellow"/>
                <w:lang w:val="en-US"/>
              </w:rPr>
              <w:t>Peak thr.</w:t>
            </w:r>
            <w:r w:rsidRPr="002D07CC">
              <w:rPr>
                <w:rFonts w:ascii="Times New Roman" w:hAnsi="Times New Roman" w:cs="Times New Roman"/>
                <w:b/>
                <w:color w:val="000000"/>
                <w:sz w:val="24"/>
                <w:szCs w:val="24"/>
                <w:highlight w:val="yellow"/>
                <w:lang w:val="en-US"/>
              </w:rPr>
              <w:t>, %</w:t>
            </w:r>
          </w:p>
        </w:tc>
        <w:tc>
          <w:tcPr>
            <w:tcW w:w="2152" w:type="dxa"/>
          </w:tcPr>
          <w:p w14:paraId="455D1281" w14:textId="77777777" w:rsidR="001039BB" w:rsidRPr="002D07CC" w:rsidRDefault="001039BB" w:rsidP="001039BB">
            <w:pPr>
              <w:contextualSpacing/>
              <w:jc w:val="center"/>
              <w:rPr>
                <w:rFonts w:ascii="Times New Roman" w:hAnsi="Times New Roman" w:cs="Times New Roman"/>
                <w:sz w:val="24"/>
                <w:szCs w:val="24"/>
                <w:highlight w:val="yellow"/>
                <w:lang w:val="en-US"/>
              </w:rPr>
            </w:pPr>
            <w:r w:rsidRPr="002D07CC">
              <w:rPr>
                <w:rFonts w:ascii="Times New Roman" w:hAnsi="Times New Roman" w:cs="Times New Roman"/>
                <w:sz w:val="24"/>
                <w:szCs w:val="24"/>
                <w:highlight w:val="yellow"/>
                <w:lang w:val="en-US"/>
              </w:rPr>
              <w:t>10</w:t>
            </w:r>
            <w:r w:rsidRPr="002D07CC">
              <w:rPr>
                <w:rFonts w:ascii="Times New Roman" w:hAnsi="Times New Roman" w:cs="Times New Roman"/>
                <w:sz w:val="24"/>
                <w:szCs w:val="24"/>
                <w:highlight w:val="yellow"/>
              </w:rPr>
              <w:t>9</w:t>
            </w:r>
            <w:r w:rsidRPr="002D07CC">
              <w:rPr>
                <w:rFonts w:ascii="Times New Roman" w:hAnsi="Times New Roman" w:cs="Times New Roman"/>
                <w:sz w:val="24"/>
                <w:szCs w:val="24"/>
                <w:highlight w:val="yellow"/>
                <w:lang w:val="en-US"/>
              </w:rPr>
              <w:t>,35</w:t>
            </w:r>
          </w:p>
          <w:p w14:paraId="501036D8" w14:textId="1E9BCA03"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lang w:val="en-US"/>
              </w:rPr>
              <w:t>[100,04-121,41]</w:t>
            </w:r>
          </w:p>
        </w:tc>
        <w:tc>
          <w:tcPr>
            <w:tcW w:w="2268" w:type="dxa"/>
          </w:tcPr>
          <w:p w14:paraId="26EBD19F" w14:textId="77777777" w:rsidR="001039BB" w:rsidRPr="002D07CC" w:rsidRDefault="001039BB" w:rsidP="001039BB">
            <w:pPr>
              <w:contextualSpacing/>
              <w:jc w:val="center"/>
              <w:rPr>
                <w:rFonts w:ascii="Times New Roman" w:hAnsi="Times New Roman" w:cs="Times New Roman"/>
                <w:sz w:val="24"/>
                <w:szCs w:val="24"/>
                <w:highlight w:val="yellow"/>
                <w:lang w:val="en-US"/>
              </w:rPr>
            </w:pPr>
            <w:r w:rsidRPr="002D07CC">
              <w:rPr>
                <w:rFonts w:ascii="Times New Roman" w:hAnsi="Times New Roman" w:cs="Times New Roman"/>
                <w:sz w:val="24"/>
                <w:szCs w:val="24"/>
                <w:highlight w:val="yellow"/>
                <w:lang w:val="en-US"/>
              </w:rPr>
              <w:t>92,88</w:t>
            </w:r>
          </w:p>
          <w:p w14:paraId="1914CF91" w14:textId="3FD581BA"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lang w:val="en-US"/>
              </w:rPr>
              <w:t>[73,78-120,8]</w:t>
            </w:r>
          </w:p>
        </w:tc>
        <w:tc>
          <w:tcPr>
            <w:tcW w:w="1134" w:type="dxa"/>
          </w:tcPr>
          <w:p w14:paraId="4E6BB203" w14:textId="75390D99"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rPr>
              <w:t>0,023</w:t>
            </w:r>
          </w:p>
        </w:tc>
        <w:tc>
          <w:tcPr>
            <w:tcW w:w="1417" w:type="dxa"/>
          </w:tcPr>
          <w:p w14:paraId="1498E9BF" w14:textId="02997D2D"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rPr>
              <w:t>16,93</w:t>
            </w:r>
          </w:p>
        </w:tc>
        <w:tc>
          <w:tcPr>
            <w:tcW w:w="1241" w:type="dxa"/>
          </w:tcPr>
          <w:p w14:paraId="494BF0E5" w14:textId="14A2891B"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rPr>
              <w:t>15,5</w:t>
            </w:r>
          </w:p>
        </w:tc>
      </w:tr>
      <w:tr w:rsidR="001039BB" w:rsidRPr="002D07CC" w14:paraId="659DFB4C" w14:textId="77777777" w:rsidTr="00105B6F">
        <w:tc>
          <w:tcPr>
            <w:tcW w:w="1642" w:type="dxa"/>
          </w:tcPr>
          <w:p w14:paraId="27C6DA90" w14:textId="00D2F909" w:rsidR="001039BB" w:rsidRPr="002D07CC" w:rsidRDefault="001039BB" w:rsidP="001039BB">
            <w:pPr>
              <w:contextualSpacing/>
              <w:rPr>
                <w:rFonts w:ascii="Times New Roman" w:hAnsi="Times New Roman" w:cs="Times New Roman"/>
                <w:b/>
                <w:sz w:val="24"/>
                <w:szCs w:val="24"/>
                <w:highlight w:val="yellow"/>
                <w:lang w:val="en-US"/>
              </w:rPr>
            </w:pPr>
            <w:r w:rsidRPr="002D07CC">
              <w:rPr>
                <w:rFonts w:ascii="Times New Roman" w:hAnsi="Times New Roman" w:cs="Times New Roman"/>
                <w:b/>
                <w:sz w:val="24"/>
                <w:szCs w:val="24"/>
                <w:highlight w:val="yellow"/>
                <w:lang w:val="en-US"/>
              </w:rPr>
              <w:t>ttPeak</w:t>
            </w:r>
            <w:r w:rsidRPr="002D07CC">
              <w:rPr>
                <w:rFonts w:ascii="Times New Roman" w:hAnsi="Times New Roman" w:cs="Times New Roman"/>
                <w:b/>
                <w:color w:val="000000"/>
                <w:sz w:val="24"/>
                <w:szCs w:val="24"/>
                <w:highlight w:val="yellow"/>
                <w:lang w:val="en-US"/>
              </w:rPr>
              <w:t>, %</w:t>
            </w:r>
          </w:p>
        </w:tc>
        <w:tc>
          <w:tcPr>
            <w:tcW w:w="2152" w:type="dxa"/>
          </w:tcPr>
          <w:p w14:paraId="59A1A530" w14:textId="77777777" w:rsidR="001039BB" w:rsidRPr="002D07CC" w:rsidRDefault="001039BB" w:rsidP="001039BB">
            <w:pPr>
              <w:contextualSpacing/>
              <w:jc w:val="center"/>
              <w:rPr>
                <w:rFonts w:ascii="Times New Roman" w:hAnsi="Times New Roman" w:cs="Times New Roman"/>
                <w:sz w:val="24"/>
                <w:szCs w:val="24"/>
                <w:highlight w:val="yellow"/>
                <w:lang w:val="en-US"/>
              </w:rPr>
            </w:pPr>
            <w:r w:rsidRPr="002D07CC">
              <w:rPr>
                <w:rFonts w:ascii="Times New Roman" w:hAnsi="Times New Roman" w:cs="Times New Roman"/>
                <w:sz w:val="24"/>
                <w:szCs w:val="24"/>
                <w:highlight w:val="yellow"/>
                <w:lang w:val="en-US"/>
              </w:rPr>
              <w:t>97,38</w:t>
            </w:r>
          </w:p>
          <w:p w14:paraId="12BB9810" w14:textId="294B02F2"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lang w:val="en-US"/>
              </w:rPr>
              <w:t>[86,16 - 105,2]</w:t>
            </w:r>
          </w:p>
        </w:tc>
        <w:tc>
          <w:tcPr>
            <w:tcW w:w="2268" w:type="dxa"/>
          </w:tcPr>
          <w:p w14:paraId="7CDE828D" w14:textId="77777777" w:rsidR="001039BB" w:rsidRPr="002D07CC" w:rsidRDefault="001039BB" w:rsidP="001039BB">
            <w:pPr>
              <w:contextualSpacing/>
              <w:jc w:val="center"/>
              <w:rPr>
                <w:rFonts w:ascii="Times New Roman" w:hAnsi="Times New Roman" w:cs="Times New Roman"/>
                <w:sz w:val="24"/>
                <w:szCs w:val="24"/>
                <w:highlight w:val="yellow"/>
                <w:lang w:val="en-US"/>
              </w:rPr>
            </w:pPr>
            <w:r w:rsidRPr="002D07CC">
              <w:rPr>
                <w:rFonts w:ascii="Times New Roman" w:hAnsi="Times New Roman" w:cs="Times New Roman"/>
                <w:sz w:val="24"/>
                <w:szCs w:val="24"/>
                <w:highlight w:val="yellow"/>
                <w:lang w:val="en-US"/>
              </w:rPr>
              <w:t>99,47</w:t>
            </w:r>
          </w:p>
          <w:p w14:paraId="41C5634F" w14:textId="7F434E16"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lang w:val="en-US"/>
              </w:rPr>
              <w:t>[89,03-108,1]</w:t>
            </w:r>
          </w:p>
        </w:tc>
        <w:tc>
          <w:tcPr>
            <w:tcW w:w="1134" w:type="dxa"/>
          </w:tcPr>
          <w:p w14:paraId="4C7FA674" w14:textId="3A854044"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rPr>
              <w:t>0,697</w:t>
            </w:r>
          </w:p>
        </w:tc>
        <w:tc>
          <w:tcPr>
            <w:tcW w:w="1417" w:type="dxa"/>
          </w:tcPr>
          <w:p w14:paraId="58217CB7" w14:textId="5563D50E"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rPr>
              <w:t>15,86</w:t>
            </w:r>
          </w:p>
        </w:tc>
        <w:tc>
          <w:tcPr>
            <w:tcW w:w="1241" w:type="dxa"/>
          </w:tcPr>
          <w:p w14:paraId="17BA6AC0" w14:textId="3A7292F9"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rPr>
              <w:t>10,9</w:t>
            </w:r>
          </w:p>
        </w:tc>
      </w:tr>
      <w:tr w:rsidR="001039BB" w:rsidRPr="002D07CC" w14:paraId="2FBE0AD3" w14:textId="77777777" w:rsidTr="00105B6F">
        <w:tc>
          <w:tcPr>
            <w:tcW w:w="1642" w:type="dxa"/>
          </w:tcPr>
          <w:p w14:paraId="78BE919C" w14:textId="38A87801" w:rsidR="001039BB" w:rsidRPr="002D07CC" w:rsidRDefault="001039BB" w:rsidP="001039BB">
            <w:pPr>
              <w:contextualSpacing/>
              <w:rPr>
                <w:rFonts w:ascii="Times New Roman" w:hAnsi="Times New Roman" w:cs="Times New Roman"/>
                <w:b/>
                <w:sz w:val="24"/>
                <w:szCs w:val="24"/>
                <w:highlight w:val="yellow"/>
                <w:lang w:val="en-US"/>
              </w:rPr>
            </w:pPr>
            <w:r w:rsidRPr="002D07CC">
              <w:rPr>
                <w:rFonts w:ascii="Times New Roman" w:hAnsi="Times New Roman" w:cs="Times New Roman"/>
                <w:b/>
                <w:sz w:val="24"/>
                <w:szCs w:val="24"/>
                <w:highlight w:val="yellow"/>
                <w:lang w:val="en-US"/>
              </w:rPr>
              <w:t>VI</w:t>
            </w:r>
            <w:r w:rsidRPr="002D07CC">
              <w:rPr>
                <w:rFonts w:ascii="Times New Roman" w:hAnsi="Times New Roman" w:cs="Times New Roman"/>
                <w:b/>
                <w:color w:val="000000"/>
                <w:sz w:val="24"/>
                <w:szCs w:val="24"/>
                <w:highlight w:val="yellow"/>
                <w:lang w:val="en-US"/>
              </w:rPr>
              <w:t>, %</w:t>
            </w:r>
          </w:p>
        </w:tc>
        <w:tc>
          <w:tcPr>
            <w:tcW w:w="2152" w:type="dxa"/>
          </w:tcPr>
          <w:p w14:paraId="3DBCD5F5" w14:textId="77777777" w:rsidR="001039BB" w:rsidRPr="002D07CC" w:rsidRDefault="001039BB" w:rsidP="001039BB">
            <w:pPr>
              <w:contextualSpacing/>
              <w:jc w:val="center"/>
              <w:rPr>
                <w:rFonts w:ascii="Times New Roman" w:hAnsi="Times New Roman" w:cs="Times New Roman"/>
                <w:sz w:val="24"/>
                <w:szCs w:val="24"/>
                <w:highlight w:val="yellow"/>
              </w:rPr>
            </w:pPr>
            <w:r w:rsidRPr="002D07CC">
              <w:rPr>
                <w:rFonts w:ascii="Times New Roman" w:hAnsi="Times New Roman" w:cs="Times New Roman"/>
                <w:sz w:val="24"/>
                <w:szCs w:val="24"/>
                <w:highlight w:val="yellow"/>
                <w:lang w:val="en-US"/>
              </w:rPr>
              <w:t>108,01</w:t>
            </w:r>
          </w:p>
          <w:p w14:paraId="41E5094E" w14:textId="1068DBE4"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lang w:val="en-US"/>
              </w:rPr>
              <w:t>[96,66-135,25]</w:t>
            </w:r>
          </w:p>
        </w:tc>
        <w:tc>
          <w:tcPr>
            <w:tcW w:w="2268" w:type="dxa"/>
          </w:tcPr>
          <w:p w14:paraId="54178D5D" w14:textId="77777777" w:rsidR="001039BB" w:rsidRPr="002D07CC" w:rsidRDefault="001039BB" w:rsidP="001039BB">
            <w:pPr>
              <w:contextualSpacing/>
              <w:jc w:val="center"/>
              <w:rPr>
                <w:rFonts w:ascii="Times New Roman" w:hAnsi="Times New Roman" w:cs="Times New Roman"/>
                <w:color w:val="000000"/>
                <w:sz w:val="24"/>
                <w:szCs w:val="24"/>
                <w:highlight w:val="yellow"/>
              </w:rPr>
            </w:pPr>
            <w:r w:rsidRPr="002D07CC">
              <w:rPr>
                <w:rFonts w:ascii="Times New Roman" w:hAnsi="Times New Roman" w:cs="Times New Roman"/>
                <w:color w:val="000000"/>
                <w:sz w:val="24"/>
                <w:szCs w:val="24"/>
                <w:highlight w:val="yellow"/>
              </w:rPr>
              <w:t>89,71</w:t>
            </w:r>
          </w:p>
          <w:p w14:paraId="0AA2C417" w14:textId="26970DDE"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color w:val="000000"/>
                <w:sz w:val="24"/>
                <w:szCs w:val="24"/>
                <w:highlight w:val="yellow"/>
                <w:lang w:val="en-US"/>
              </w:rPr>
              <w:t>[</w:t>
            </w:r>
            <w:r w:rsidRPr="002D07CC">
              <w:rPr>
                <w:rFonts w:ascii="Times New Roman" w:hAnsi="Times New Roman" w:cs="Times New Roman"/>
                <w:color w:val="000000"/>
                <w:sz w:val="24"/>
                <w:szCs w:val="24"/>
                <w:highlight w:val="yellow"/>
              </w:rPr>
              <w:t>61,81</w:t>
            </w:r>
            <w:r w:rsidRPr="002D07CC">
              <w:rPr>
                <w:rFonts w:ascii="Times New Roman" w:hAnsi="Times New Roman" w:cs="Times New Roman"/>
                <w:color w:val="000000"/>
                <w:sz w:val="24"/>
                <w:szCs w:val="24"/>
                <w:highlight w:val="yellow"/>
                <w:lang w:val="en-US"/>
              </w:rPr>
              <w:t>-</w:t>
            </w:r>
            <w:r w:rsidRPr="002D07CC">
              <w:rPr>
                <w:rFonts w:ascii="Times New Roman" w:hAnsi="Times New Roman" w:cs="Times New Roman"/>
                <w:color w:val="000000"/>
                <w:sz w:val="24"/>
                <w:szCs w:val="24"/>
                <w:highlight w:val="yellow"/>
              </w:rPr>
              <w:t>129,9</w:t>
            </w:r>
            <w:r w:rsidRPr="002D07CC">
              <w:rPr>
                <w:rFonts w:ascii="Times New Roman" w:hAnsi="Times New Roman" w:cs="Times New Roman"/>
                <w:sz w:val="24"/>
                <w:szCs w:val="24"/>
                <w:highlight w:val="yellow"/>
                <w:lang w:val="en-US"/>
              </w:rPr>
              <w:t>]</w:t>
            </w:r>
          </w:p>
        </w:tc>
        <w:tc>
          <w:tcPr>
            <w:tcW w:w="1134" w:type="dxa"/>
          </w:tcPr>
          <w:p w14:paraId="21495629" w14:textId="24FF3993"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rPr>
              <w:t>0,33</w:t>
            </w:r>
          </w:p>
        </w:tc>
        <w:tc>
          <w:tcPr>
            <w:tcW w:w="1417" w:type="dxa"/>
          </w:tcPr>
          <w:p w14:paraId="157B3864" w14:textId="71F14C48"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rPr>
              <w:t>35,07</w:t>
            </w:r>
          </w:p>
        </w:tc>
        <w:tc>
          <w:tcPr>
            <w:tcW w:w="1241" w:type="dxa"/>
          </w:tcPr>
          <w:p w14:paraId="332F1179" w14:textId="587D1CD8" w:rsidR="001039BB" w:rsidRPr="002D07CC" w:rsidRDefault="001039BB" w:rsidP="001039BB">
            <w:pPr>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sz w:val="24"/>
                <w:szCs w:val="24"/>
                <w:highlight w:val="yellow"/>
              </w:rPr>
              <w:t>27,17</w:t>
            </w:r>
          </w:p>
        </w:tc>
      </w:tr>
    </w:tbl>
    <w:p w14:paraId="1843378E" w14:textId="4BD2F523" w:rsidR="00812A48" w:rsidRDefault="00812A48" w:rsidP="0040071C">
      <w:pPr>
        <w:spacing w:line="240" w:lineRule="auto"/>
        <w:contextualSpacing/>
        <w:jc w:val="both"/>
        <w:rPr>
          <w:rFonts w:ascii="Times New Roman" w:hAnsi="Times New Roman" w:cs="Times New Roman"/>
          <w:sz w:val="28"/>
          <w:szCs w:val="28"/>
        </w:rPr>
      </w:pPr>
      <w:r w:rsidRPr="002D07CC">
        <w:rPr>
          <w:rFonts w:ascii="Times New Roman" w:hAnsi="Times New Roman" w:cs="Times New Roman"/>
          <w:sz w:val="28"/>
          <w:szCs w:val="28"/>
          <w:highlight w:val="yellow"/>
        </w:rPr>
        <w:t xml:space="preserve">Примечания: </w:t>
      </w:r>
      <w:r w:rsidR="00AA4347" w:rsidRPr="002D07CC">
        <w:rPr>
          <w:rFonts w:ascii="Times New Roman" w:hAnsi="Times New Roman" w:cs="Times New Roman"/>
          <w:sz w:val="28"/>
          <w:szCs w:val="28"/>
          <w:highlight w:val="yellow"/>
        </w:rPr>
        <w:t>Т1 – технология 1 (</w:t>
      </w:r>
      <w:r w:rsidR="00AA4347" w:rsidRPr="002D07CC">
        <w:rPr>
          <w:rFonts w:ascii="Times New Roman" w:hAnsi="Times New Roman" w:cs="Times New Roman"/>
          <w:sz w:val="28"/>
          <w:szCs w:val="28"/>
          <w:highlight w:val="yellow"/>
          <w:lang w:val="en-US"/>
        </w:rPr>
        <w:t>Fluoroscan</w:t>
      </w:r>
      <w:r w:rsidR="00AA4347" w:rsidRPr="002D07CC">
        <w:rPr>
          <w:rFonts w:ascii="Times New Roman" w:hAnsi="Times New Roman" w:cs="Times New Roman"/>
          <w:sz w:val="28"/>
          <w:szCs w:val="28"/>
          <w:highlight w:val="yellow"/>
        </w:rPr>
        <w:t xml:space="preserve"> </w:t>
      </w:r>
      <w:r w:rsidR="00AA4347" w:rsidRPr="002D07CC">
        <w:rPr>
          <w:rFonts w:ascii="Times New Roman" w:hAnsi="Times New Roman" w:cs="Times New Roman"/>
          <w:sz w:val="28"/>
          <w:szCs w:val="28"/>
          <w:highlight w:val="yellow"/>
          <w:lang w:val="en-US"/>
        </w:rPr>
        <w:t>Ascent</w:t>
      </w:r>
      <w:r w:rsidR="00AA4347" w:rsidRPr="002D07CC">
        <w:rPr>
          <w:rFonts w:ascii="Times New Roman" w:hAnsi="Times New Roman" w:cs="Times New Roman"/>
          <w:sz w:val="28"/>
          <w:szCs w:val="28"/>
          <w:highlight w:val="yellow"/>
        </w:rPr>
        <w:t>), Т2 – технология 2 (</w:t>
      </w:r>
      <w:r w:rsidR="00AA4347" w:rsidRPr="002D07CC">
        <w:rPr>
          <w:rFonts w:ascii="Times New Roman" w:hAnsi="Times New Roman" w:cs="Times New Roman"/>
          <w:sz w:val="28"/>
          <w:szCs w:val="28"/>
          <w:highlight w:val="yellow"/>
          <w:lang w:val="en-US"/>
        </w:rPr>
        <w:t>Ceveron</w:t>
      </w:r>
      <w:r w:rsidR="00AA4347" w:rsidRPr="002D07CC">
        <w:rPr>
          <w:rFonts w:ascii="Times New Roman" w:hAnsi="Times New Roman" w:cs="Times New Roman"/>
          <w:sz w:val="28"/>
          <w:szCs w:val="28"/>
          <w:highlight w:val="yellow"/>
        </w:rPr>
        <w:t xml:space="preserve"> </w:t>
      </w:r>
      <w:r w:rsidR="00AA4347" w:rsidRPr="002D07CC">
        <w:rPr>
          <w:rFonts w:ascii="Times New Roman" w:hAnsi="Times New Roman" w:cs="Times New Roman"/>
          <w:sz w:val="28"/>
          <w:szCs w:val="28"/>
          <w:highlight w:val="yellow"/>
          <w:lang w:val="en-US"/>
        </w:rPr>
        <w:t>Alfa</w:t>
      </w:r>
      <w:r w:rsidR="00AA4347" w:rsidRPr="002D07CC">
        <w:rPr>
          <w:rFonts w:ascii="Times New Roman" w:hAnsi="Times New Roman" w:cs="Times New Roman"/>
          <w:sz w:val="28"/>
          <w:szCs w:val="28"/>
          <w:highlight w:val="yellow"/>
        </w:rPr>
        <w:t xml:space="preserve">), </w:t>
      </w:r>
      <w:r w:rsidRPr="002D07CC">
        <w:rPr>
          <w:rFonts w:ascii="Times New Roman" w:hAnsi="Times New Roman" w:cs="Times New Roman"/>
          <w:sz w:val="28"/>
          <w:szCs w:val="28"/>
          <w:highlight w:val="yellow"/>
        </w:rPr>
        <w:t>медиана (Ме) и интерквартильный размах измер</w:t>
      </w:r>
      <w:r w:rsidR="00D459C2" w:rsidRPr="002D07CC">
        <w:rPr>
          <w:rFonts w:ascii="Times New Roman" w:hAnsi="Times New Roman" w:cs="Times New Roman"/>
          <w:sz w:val="28"/>
          <w:szCs w:val="28"/>
          <w:highlight w:val="yellow"/>
        </w:rPr>
        <w:t>ений</w:t>
      </w:r>
      <w:r w:rsidR="00274E6B" w:rsidRPr="002D07CC">
        <w:rPr>
          <w:rFonts w:ascii="Times New Roman" w:hAnsi="Times New Roman" w:cs="Times New Roman"/>
          <w:sz w:val="28"/>
          <w:szCs w:val="28"/>
          <w:highlight w:val="yellow"/>
        </w:rPr>
        <w:t xml:space="preserve"> [</w:t>
      </w:r>
      <w:r w:rsidR="00274E6B" w:rsidRPr="002D07CC">
        <w:rPr>
          <w:rFonts w:ascii="Times New Roman" w:hAnsi="Times New Roman" w:cs="Times New Roman"/>
          <w:sz w:val="28"/>
          <w:szCs w:val="28"/>
          <w:highlight w:val="yellow"/>
          <w:lang w:val="en-US"/>
        </w:rPr>
        <w:t>Q</w:t>
      </w:r>
      <w:r w:rsidR="00274E6B" w:rsidRPr="002D07CC">
        <w:rPr>
          <w:rFonts w:ascii="Times New Roman" w:hAnsi="Times New Roman" w:cs="Times New Roman"/>
          <w:sz w:val="28"/>
          <w:szCs w:val="28"/>
          <w:highlight w:val="yellow"/>
        </w:rPr>
        <w:t>1-</w:t>
      </w:r>
      <w:r w:rsidR="00274E6B" w:rsidRPr="002D07CC">
        <w:rPr>
          <w:rFonts w:ascii="Times New Roman" w:hAnsi="Times New Roman" w:cs="Times New Roman"/>
          <w:sz w:val="28"/>
          <w:szCs w:val="28"/>
          <w:highlight w:val="yellow"/>
          <w:lang w:val="en-US"/>
        </w:rPr>
        <w:t>Q</w:t>
      </w:r>
      <w:r w:rsidR="00274E6B" w:rsidRPr="002D07CC">
        <w:rPr>
          <w:rFonts w:ascii="Times New Roman" w:hAnsi="Times New Roman" w:cs="Times New Roman"/>
          <w:sz w:val="28"/>
          <w:szCs w:val="28"/>
          <w:highlight w:val="yellow"/>
        </w:rPr>
        <w:t>3]</w:t>
      </w:r>
      <w:r w:rsidR="00D459C2" w:rsidRPr="002D07CC">
        <w:rPr>
          <w:rFonts w:ascii="Times New Roman" w:hAnsi="Times New Roman" w:cs="Times New Roman"/>
          <w:sz w:val="28"/>
          <w:szCs w:val="28"/>
          <w:highlight w:val="yellow"/>
        </w:rPr>
        <w:t>,</w:t>
      </w:r>
      <w:r w:rsidR="00AA4347" w:rsidRPr="002D07CC">
        <w:rPr>
          <w:rFonts w:ascii="Times New Roman" w:hAnsi="Times New Roman" w:cs="Times New Roman"/>
          <w:sz w:val="28"/>
          <w:szCs w:val="28"/>
          <w:highlight w:val="yellow"/>
        </w:rPr>
        <w:t xml:space="preserve"> </w:t>
      </w:r>
      <w:r w:rsidR="00AA4347" w:rsidRPr="002D07CC">
        <w:rPr>
          <w:rFonts w:ascii="Times New Roman" w:hAnsi="Times New Roman" w:cs="Times New Roman"/>
          <w:sz w:val="28"/>
          <w:szCs w:val="28"/>
          <w:highlight w:val="yellow"/>
          <w:lang w:val="en-US"/>
        </w:rPr>
        <w:t>CVG</w:t>
      </w:r>
      <w:r w:rsidR="00AA4347" w:rsidRPr="002D07CC">
        <w:rPr>
          <w:rFonts w:ascii="Times New Roman" w:hAnsi="Times New Roman" w:cs="Times New Roman"/>
          <w:sz w:val="28"/>
          <w:szCs w:val="28"/>
          <w:highlight w:val="yellow"/>
        </w:rPr>
        <w:t xml:space="preserve"> </w:t>
      </w:r>
      <w:r w:rsidR="00D17A70" w:rsidRPr="002D07CC">
        <w:rPr>
          <w:rFonts w:ascii="Times New Roman" w:hAnsi="Times New Roman" w:cs="Times New Roman"/>
          <w:sz w:val="28"/>
          <w:szCs w:val="28"/>
          <w:highlight w:val="yellow"/>
        </w:rPr>
        <w:t>–</w:t>
      </w:r>
      <w:r w:rsidR="00AA4347" w:rsidRPr="002D07CC">
        <w:rPr>
          <w:rFonts w:ascii="Times New Roman" w:hAnsi="Times New Roman" w:cs="Times New Roman"/>
          <w:sz w:val="28"/>
          <w:szCs w:val="28"/>
          <w:highlight w:val="yellow"/>
        </w:rPr>
        <w:t xml:space="preserve"> </w:t>
      </w:r>
      <w:r w:rsidR="00D17A70" w:rsidRPr="002D07CC">
        <w:rPr>
          <w:rFonts w:ascii="Times New Roman" w:hAnsi="Times New Roman" w:cs="Times New Roman"/>
          <w:sz w:val="28"/>
          <w:szCs w:val="28"/>
          <w:highlight w:val="yellow"/>
        </w:rPr>
        <w:t>коэффициент межиндивидуальной (групповой) вариации</w:t>
      </w:r>
      <w:r w:rsidR="00D459C2" w:rsidRPr="00BD14AA">
        <w:rPr>
          <w:rFonts w:ascii="Times New Roman" w:hAnsi="Times New Roman" w:cs="Times New Roman"/>
          <w:sz w:val="28"/>
          <w:szCs w:val="28"/>
        </w:rPr>
        <w:t xml:space="preserve"> </w:t>
      </w:r>
    </w:p>
    <w:p w14:paraId="73E49F3B" w14:textId="2D59CE96" w:rsidR="00D17A70" w:rsidRDefault="00D17A70" w:rsidP="00D17A70">
      <w:pPr>
        <w:spacing w:line="240" w:lineRule="auto"/>
        <w:contextualSpacing/>
        <w:jc w:val="both"/>
        <w:rPr>
          <w:rFonts w:ascii="Times New Roman" w:hAnsi="Times New Roman" w:cs="Times New Roman"/>
          <w:sz w:val="28"/>
          <w:szCs w:val="28"/>
        </w:rPr>
      </w:pPr>
    </w:p>
    <w:p w14:paraId="151F977C" w14:textId="73968B3C" w:rsidR="0003184F" w:rsidRDefault="0003184F" w:rsidP="0003184F">
      <w:pPr>
        <w:spacing w:before="240" w:after="0" w:line="480" w:lineRule="auto"/>
        <w:ind w:firstLine="709"/>
        <w:contextualSpacing/>
        <w:jc w:val="both"/>
        <w:rPr>
          <w:rFonts w:ascii="Times New Roman" w:hAnsi="Times New Roman" w:cs="Times New Roman"/>
          <w:sz w:val="28"/>
          <w:szCs w:val="28"/>
        </w:rPr>
      </w:pPr>
      <w:r w:rsidRPr="00BE42DB">
        <w:rPr>
          <w:rFonts w:ascii="Times New Roman" w:hAnsi="Times New Roman" w:cs="Times New Roman"/>
          <w:sz w:val="28"/>
          <w:szCs w:val="28"/>
        </w:rPr>
        <w:t xml:space="preserve">В ходе сравнения </w:t>
      </w:r>
      <w:r w:rsidR="006F6CCC">
        <w:rPr>
          <w:rFonts w:ascii="Times New Roman" w:hAnsi="Times New Roman" w:cs="Times New Roman"/>
          <w:sz w:val="28"/>
          <w:szCs w:val="28"/>
        </w:rPr>
        <w:t>параметров</w:t>
      </w:r>
      <w:r w:rsidRPr="00BE42DB">
        <w:rPr>
          <w:rFonts w:ascii="Times New Roman" w:hAnsi="Times New Roman" w:cs="Times New Roman"/>
          <w:sz w:val="28"/>
          <w:szCs w:val="28"/>
        </w:rPr>
        <w:t xml:space="preserve"> ТГТ на двух приборах было показано, что </w:t>
      </w:r>
      <w:r w:rsidRPr="00BE42DB">
        <w:rPr>
          <w:rFonts w:ascii="Times New Roman" w:hAnsi="Times New Roman" w:cs="Times New Roman"/>
          <w:sz w:val="28"/>
          <w:szCs w:val="28"/>
          <w:lang w:val="en-US"/>
        </w:rPr>
        <w:t>ETP</w:t>
      </w:r>
      <w:r w:rsidRPr="00BE42DB">
        <w:rPr>
          <w:rFonts w:ascii="Times New Roman" w:hAnsi="Times New Roman" w:cs="Times New Roman"/>
          <w:sz w:val="28"/>
          <w:szCs w:val="28"/>
        </w:rPr>
        <w:t xml:space="preserve"> </w:t>
      </w:r>
      <w:r>
        <w:rPr>
          <w:rFonts w:ascii="Times New Roman" w:hAnsi="Times New Roman" w:cs="Times New Roman"/>
          <w:sz w:val="28"/>
          <w:szCs w:val="28"/>
        </w:rPr>
        <w:t xml:space="preserve">двух методик </w:t>
      </w:r>
      <w:r w:rsidR="00610EC9">
        <w:rPr>
          <w:rFonts w:ascii="Times New Roman" w:hAnsi="Times New Roman" w:cs="Times New Roman"/>
          <w:sz w:val="28"/>
          <w:szCs w:val="28"/>
        </w:rPr>
        <w:t>значимо</w:t>
      </w:r>
      <w:r w:rsidR="00610EC9" w:rsidRPr="00BE42DB">
        <w:rPr>
          <w:rFonts w:ascii="Times New Roman" w:hAnsi="Times New Roman" w:cs="Times New Roman"/>
          <w:sz w:val="28"/>
          <w:szCs w:val="28"/>
        </w:rPr>
        <w:t xml:space="preserve"> </w:t>
      </w:r>
      <w:r w:rsidRPr="00BE42DB">
        <w:rPr>
          <w:rFonts w:ascii="Times New Roman" w:hAnsi="Times New Roman" w:cs="Times New Roman"/>
          <w:sz w:val="28"/>
          <w:szCs w:val="28"/>
        </w:rPr>
        <w:t>отличается как в абсолютных значениях</w:t>
      </w:r>
      <w:r>
        <w:rPr>
          <w:rFonts w:ascii="Times New Roman" w:hAnsi="Times New Roman" w:cs="Times New Roman"/>
          <w:sz w:val="28"/>
          <w:szCs w:val="28"/>
        </w:rPr>
        <w:t xml:space="preserve"> (р=</w:t>
      </w:r>
      <w:r w:rsidRPr="0003184F">
        <w:rPr>
          <w:rFonts w:ascii="Times New Roman" w:hAnsi="Times New Roman" w:cs="Times New Roman"/>
          <w:sz w:val="28"/>
          <w:szCs w:val="28"/>
        </w:rPr>
        <w:t>0,0001</w:t>
      </w:r>
      <w:r>
        <w:rPr>
          <w:rFonts w:ascii="Times New Roman" w:hAnsi="Times New Roman" w:cs="Times New Roman"/>
          <w:sz w:val="28"/>
          <w:szCs w:val="28"/>
        </w:rPr>
        <w:t>)</w:t>
      </w:r>
      <w:r w:rsidRPr="00BE42DB">
        <w:rPr>
          <w:rFonts w:ascii="Times New Roman" w:hAnsi="Times New Roman" w:cs="Times New Roman"/>
          <w:sz w:val="28"/>
          <w:szCs w:val="28"/>
        </w:rPr>
        <w:t xml:space="preserve">, </w:t>
      </w:r>
      <w:r w:rsidRPr="00BE42DB">
        <w:rPr>
          <w:rFonts w:ascii="Times New Roman" w:hAnsi="Times New Roman" w:cs="Times New Roman"/>
          <w:sz w:val="28"/>
          <w:szCs w:val="28"/>
        </w:rPr>
        <w:lastRenderedPageBreak/>
        <w:t>так и после нормализации</w:t>
      </w:r>
      <w:r>
        <w:rPr>
          <w:rFonts w:ascii="Times New Roman" w:hAnsi="Times New Roman" w:cs="Times New Roman"/>
          <w:sz w:val="28"/>
          <w:szCs w:val="28"/>
        </w:rPr>
        <w:t xml:space="preserve"> (р=</w:t>
      </w:r>
      <w:r w:rsidRPr="0003184F">
        <w:rPr>
          <w:rFonts w:ascii="Times New Roman" w:hAnsi="Times New Roman" w:cs="Times New Roman"/>
          <w:sz w:val="28"/>
          <w:szCs w:val="28"/>
        </w:rPr>
        <w:t>0,001</w:t>
      </w:r>
      <w:r>
        <w:rPr>
          <w:rFonts w:ascii="Times New Roman" w:hAnsi="Times New Roman" w:cs="Times New Roman"/>
          <w:sz w:val="28"/>
          <w:szCs w:val="28"/>
        </w:rPr>
        <w:t>)</w:t>
      </w:r>
      <w:r w:rsidRPr="00BE42DB">
        <w:rPr>
          <w:rFonts w:ascii="Times New Roman" w:hAnsi="Times New Roman" w:cs="Times New Roman"/>
          <w:sz w:val="28"/>
          <w:szCs w:val="28"/>
        </w:rPr>
        <w:t>.</w:t>
      </w:r>
      <w:r>
        <w:rPr>
          <w:rFonts w:ascii="Times New Roman" w:hAnsi="Times New Roman" w:cs="Times New Roman"/>
          <w:sz w:val="28"/>
          <w:szCs w:val="28"/>
        </w:rPr>
        <w:t xml:space="preserve"> </w:t>
      </w:r>
      <w:bookmarkStart w:id="1" w:name="_Hlk117683632"/>
      <w:r>
        <w:rPr>
          <w:rFonts w:ascii="Times New Roman" w:hAnsi="Times New Roman" w:cs="Times New Roman"/>
          <w:sz w:val="28"/>
          <w:szCs w:val="28"/>
        </w:rPr>
        <w:t xml:space="preserve">Также абсолютные значения </w:t>
      </w:r>
      <w:r>
        <w:rPr>
          <w:rFonts w:ascii="Times New Roman" w:hAnsi="Times New Roman" w:cs="Times New Roman"/>
          <w:sz w:val="28"/>
          <w:szCs w:val="28"/>
          <w:lang w:val="en-US"/>
        </w:rPr>
        <w:t>LT</w:t>
      </w:r>
      <w:r w:rsidRPr="00F02E48">
        <w:rPr>
          <w:rFonts w:ascii="Times New Roman" w:hAnsi="Times New Roman" w:cs="Times New Roman"/>
          <w:sz w:val="28"/>
          <w:szCs w:val="28"/>
        </w:rPr>
        <w:t xml:space="preserve"> </w:t>
      </w:r>
      <w:r>
        <w:rPr>
          <w:rFonts w:ascii="Times New Roman" w:hAnsi="Times New Roman" w:cs="Times New Roman"/>
          <w:sz w:val="28"/>
          <w:szCs w:val="28"/>
        </w:rPr>
        <w:t xml:space="preserve">в </w:t>
      </w:r>
      <w:r w:rsidR="00487ED8">
        <w:rPr>
          <w:rFonts w:ascii="Times New Roman" w:hAnsi="Times New Roman" w:cs="Times New Roman"/>
          <w:sz w:val="28"/>
          <w:szCs w:val="28"/>
        </w:rPr>
        <w:t xml:space="preserve">Технологии 1 </w:t>
      </w:r>
      <w:r>
        <w:rPr>
          <w:rFonts w:ascii="Times New Roman" w:hAnsi="Times New Roman" w:cs="Times New Roman"/>
          <w:sz w:val="28"/>
          <w:szCs w:val="28"/>
        </w:rPr>
        <w:t>достоверно выше</w:t>
      </w:r>
      <w:r w:rsidR="00877B21">
        <w:rPr>
          <w:rFonts w:ascii="Times New Roman" w:hAnsi="Times New Roman" w:cs="Times New Roman"/>
          <w:sz w:val="28"/>
          <w:szCs w:val="28"/>
        </w:rPr>
        <w:t>, чем в Технологии 2</w:t>
      </w:r>
      <w:r>
        <w:rPr>
          <w:rFonts w:ascii="Times New Roman" w:hAnsi="Times New Roman" w:cs="Times New Roman"/>
          <w:sz w:val="28"/>
          <w:szCs w:val="28"/>
        </w:rPr>
        <w:t xml:space="preserve"> </w:t>
      </w:r>
      <w:bookmarkEnd w:id="1"/>
      <w:r>
        <w:rPr>
          <w:rFonts w:ascii="Times New Roman" w:hAnsi="Times New Roman" w:cs="Times New Roman"/>
          <w:sz w:val="28"/>
          <w:szCs w:val="28"/>
        </w:rPr>
        <w:t>(</w:t>
      </w:r>
      <w:r>
        <w:rPr>
          <w:rFonts w:ascii="Times New Roman" w:hAnsi="Times New Roman" w:cs="Times New Roman"/>
          <w:sz w:val="28"/>
          <w:szCs w:val="28"/>
          <w:lang w:val="en-US"/>
        </w:rPr>
        <w:t>p</w:t>
      </w:r>
      <w:r>
        <w:rPr>
          <w:rFonts w:ascii="Times New Roman" w:hAnsi="Times New Roman" w:cs="Times New Roman"/>
          <w:sz w:val="28"/>
          <w:szCs w:val="28"/>
        </w:rPr>
        <w:t>=</w:t>
      </w:r>
      <w:r w:rsidRPr="0003184F">
        <w:rPr>
          <w:rFonts w:ascii="Times New Roman" w:hAnsi="Times New Roman" w:cs="Times New Roman"/>
          <w:sz w:val="28"/>
          <w:szCs w:val="28"/>
        </w:rPr>
        <w:t>0,02</w:t>
      </w:r>
      <w:r>
        <w:rPr>
          <w:rFonts w:ascii="Times New Roman" w:hAnsi="Times New Roman" w:cs="Times New Roman"/>
          <w:sz w:val="28"/>
          <w:szCs w:val="28"/>
        </w:rPr>
        <w:t>)</w:t>
      </w:r>
      <w:r w:rsidRPr="00F02E48">
        <w:rPr>
          <w:rFonts w:ascii="Times New Roman" w:hAnsi="Times New Roman" w:cs="Times New Roman"/>
          <w:sz w:val="28"/>
          <w:szCs w:val="28"/>
        </w:rPr>
        <w:t>.</w:t>
      </w:r>
      <w:r>
        <w:rPr>
          <w:rFonts w:ascii="Times New Roman" w:hAnsi="Times New Roman" w:cs="Times New Roman"/>
          <w:sz w:val="28"/>
          <w:szCs w:val="28"/>
        </w:rPr>
        <w:t xml:space="preserve"> </w:t>
      </w:r>
    </w:p>
    <w:p w14:paraId="1E9E81C0" w14:textId="28F9AECD" w:rsidR="00A020B9" w:rsidRDefault="00A020B9" w:rsidP="0003184F">
      <w:pPr>
        <w:spacing w:before="240" w:after="0" w:line="48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Корреляционный анализ выявил прямую положительную связь по временному показателю </w:t>
      </w:r>
      <w:r>
        <w:rPr>
          <w:rFonts w:ascii="Times New Roman" w:hAnsi="Times New Roman" w:cs="Times New Roman"/>
          <w:sz w:val="28"/>
          <w:szCs w:val="28"/>
          <w:lang w:val="en-US"/>
        </w:rPr>
        <w:t>LT</w:t>
      </w:r>
      <w:r>
        <w:rPr>
          <w:rFonts w:ascii="Times New Roman" w:hAnsi="Times New Roman" w:cs="Times New Roman"/>
          <w:sz w:val="28"/>
          <w:szCs w:val="28"/>
        </w:rPr>
        <w:t>, отражающему</w:t>
      </w:r>
      <w:r w:rsidRPr="00516E0D">
        <w:rPr>
          <w:rFonts w:ascii="Times New Roman" w:hAnsi="Times New Roman" w:cs="Times New Roman"/>
          <w:sz w:val="28"/>
          <w:szCs w:val="28"/>
        </w:rPr>
        <w:t xml:space="preserve"> чувствительность технологий к генерации стартового количества тромбина,</w:t>
      </w:r>
      <w:r w:rsidRPr="0043797C">
        <w:rPr>
          <w:rFonts w:ascii="Times New Roman" w:hAnsi="Times New Roman" w:cs="Times New Roman"/>
          <w:sz w:val="28"/>
          <w:szCs w:val="28"/>
        </w:rPr>
        <w:t xml:space="preserve"> </w:t>
      </w:r>
      <w:r>
        <w:rPr>
          <w:rFonts w:ascii="Times New Roman" w:hAnsi="Times New Roman" w:cs="Times New Roman"/>
          <w:sz w:val="28"/>
          <w:szCs w:val="28"/>
        </w:rPr>
        <w:t xml:space="preserve">в двух методиках </w:t>
      </w:r>
      <w:r w:rsidRPr="0043797C">
        <w:rPr>
          <w:rFonts w:ascii="Times New Roman" w:hAnsi="Times New Roman" w:cs="Times New Roman"/>
          <w:sz w:val="28"/>
          <w:szCs w:val="28"/>
        </w:rPr>
        <w:t>(</w:t>
      </w:r>
      <w:r>
        <w:rPr>
          <w:rFonts w:ascii="Times New Roman" w:hAnsi="Times New Roman" w:cs="Times New Roman"/>
          <w:sz w:val="28"/>
          <w:szCs w:val="28"/>
          <w:lang w:val="en-US"/>
        </w:rPr>
        <w:t>p</w:t>
      </w:r>
      <w:r>
        <w:rPr>
          <w:rFonts w:ascii="Times New Roman" w:hAnsi="Times New Roman" w:cs="Times New Roman"/>
          <w:sz w:val="28"/>
          <w:szCs w:val="28"/>
        </w:rPr>
        <w:t>&lt;0,05) (данные не представлены).</w:t>
      </w:r>
    </w:p>
    <w:p w14:paraId="0BE850D2" w14:textId="2D2461BB" w:rsidR="0003184F" w:rsidRPr="0003184F" w:rsidRDefault="00516E0D" w:rsidP="00516E0D">
      <w:pPr>
        <w:spacing w:after="0" w:line="48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ходе исследования были </w:t>
      </w:r>
      <w:r w:rsidR="00487ED8">
        <w:rPr>
          <w:rFonts w:ascii="Times New Roman" w:hAnsi="Times New Roman" w:cs="Times New Roman"/>
          <w:sz w:val="28"/>
          <w:szCs w:val="28"/>
        </w:rPr>
        <w:t>получены</w:t>
      </w:r>
      <w:r>
        <w:rPr>
          <w:rFonts w:ascii="Times New Roman" w:hAnsi="Times New Roman" w:cs="Times New Roman"/>
          <w:sz w:val="28"/>
          <w:szCs w:val="28"/>
        </w:rPr>
        <w:t xml:space="preserve"> </w:t>
      </w:r>
      <w:r w:rsidR="00487ED8">
        <w:rPr>
          <w:rFonts w:ascii="Times New Roman" w:hAnsi="Times New Roman" w:cs="Times New Roman"/>
          <w:sz w:val="28"/>
          <w:szCs w:val="28"/>
        </w:rPr>
        <w:t xml:space="preserve">РИ для двух технологий </w:t>
      </w:r>
      <w:r>
        <w:rPr>
          <w:rFonts w:ascii="Times New Roman" w:hAnsi="Times New Roman" w:cs="Times New Roman"/>
          <w:sz w:val="28"/>
          <w:szCs w:val="28"/>
        </w:rPr>
        <w:t>(табл. 2</w:t>
      </w:r>
      <w:r w:rsidR="00E82E69">
        <w:rPr>
          <w:rFonts w:ascii="Times New Roman" w:hAnsi="Times New Roman" w:cs="Times New Roman"/>
          <w:sz w:val="28"/>
          <w:szCs w:val="28"/>
        </w:rPr>
        <w:t xml:space="preserve">). </w:t>
      </w:r>
      <w:r>
        <w:rPr>
          <w:rFonts w:ascii="Times New Roman" w:hAnsi="Times New Roman" w:cs="Times New Roman"/>
          <w:sz w:val="28"/>
          <w:szCs w:val="28"/>
        </w:rPr>
        <w:t xml:space="preserve">Полученные РИ </w:t>
      </w:r>
      <w:r w:rsidR="00BD370F">
        <w:rPr>
          <w:rFonts w:ascii="Times New Roman" w:hAnsi="Times New Roman" w:cs="Times New Roman"/>
          <w:sz w:val="28"/>
          <w:szCs w:val="28"/>
        </w:rPr>
        <w:t>соответствуют значениям, заявленным производителем, что подтверждает воспроизводимость методики в нашей лаборатории.</w:t>
      </w:r>
    </w:p>
    <w:p w14:paraId="6D123881" w14:textId="77777777" w:rsidR="0003184F" w:rsidRPr="002D07CC" w:rsidRDefault="0003184F" w:rsidP="0003184F">
      <w:pPr>
        <w:spacing w:after="0" w:line="240" w:lineRule="auto"/>
        <w:ind w:firstLine="709"/>
        <w:contextualSpacing/>
        <w:jc w:val="center"/>
        <w:rPr>
          <w:rFonts w:ascii="Times New Roman" w:hAnsi="Times New Roman" w:cs="Times New Roman"/>
          <w:b/>
          <w:sz w:val="28"/>
          <w:szCs w:val="28"/>
          <w:highlight w:val="yellow"/>
        </w:rPr>
      </w:pPr>
      <w:r w:rsidRPr="002D07CC">
        <w:rPr>
          <w:rFonts w:ascii="Times New Roman" w:hAnsi="Times New Roman" w:cs="Times New Roman"/>
          <w:b/>
          <w:sz w:val="28"/>
          <w:szCs w:val="28"/>
          <w:highlight w:val="yellow"/>
        </w:rPr>
        <w:t>Таблица 2. Референтные диапазоны генерации тромбина в бедной тромбоцитами плазме у здоровых доноров</w:t>
      </w:r>
    </w:p>
    <w:p w14:paraId="6F0E94DC" w14:textId="77777777" w:rsidR="0003184F" w:rsidRPr="002D07CC" w:rsidRDefault="0003184F" w:rsidP="0003184F">
      <w:pPr>
        <w:spacing w:after="0" w:line="240" w:lineRule="auto"/>
        <w:ind w:firstLine="709"/>
        <w:contextualSpacing/>
        <w:jc w:val="center"/>
        <w:rPr>
          <w:rFonts w:ascii="Times New Roman" w:hAnsi="Times New Roman" w:cs="Times New Roman"/>
          <w:b/>
          <w:sz w:val="28"/>
          <w:szCs w:val="28"/>
          <w:highlight w:val="yellow"/>
        </w:rPr>
      </w:pPr>
    </w:p>
    <w:p w14:paraId="1D71C09F" w14:textId="77777777" w:rsidR="0003184F" w:rsidRPr="002D07CC" w:rsidRDefault="0003184F" w:rsidP="0003184F">
      <w:pPr>
        <w:spacing w:after="0" w:line="240" w:lineRule="auto"/>
        <w:ind w:firstLine="709"/>
        <w:contextualSpacing/>
        <w:jc w:val="center"/>
        <w:rPr>
          <w:rFonts w:ascii="Times New Roman" w:hAnsi="Times New Roman" w:cs="Times New Roman"/>
          <w:b/>
          <w:sz w:val="28"/>
          <w:szCs w:val="28"/>
          <w:highlight w:val="yellow"/>
          <w:lang w:val="en-US"/>
        </w:rPr>
      </w:pPr>
      <w:r w:rsidRPr="002D07CC">
        <w:rPr>
          <w:rFonts w:ascii="Times New Roman" w:hAnsi="Times New Roman" w:cs="Times New Roman"/>
          <w:b/>
          <w:sz w:val="28"/>
          <w:szCs w:val="28"/>
          <w:highlight w:val="yellow"/>
          <w:lang w:val="en-US"/>
        </w:rPr>
        <w:t xml:space="preserve">Table 2. Reference intervals of thrombin generation in donors’ platelet-poor plasma </w:t>
      </w:r>
    </w:p>
    <w:tbl>
      <w:tblPr>
        <w:tblStyle w:val="a3"/>
        <w:tblW w:w="0" w:type="auto"/>
        <w:tblLook w:val="04A0" w:firstRow="1" w:lastRow="0" w:firstColumn="1" w:lastColumn="0" w:noHBand="0" w:noVBand="1"/>
      </w:tblPr>
      <w:tblGrid>
        <w:gridCol w:w="2420"/>
        <w:gridCol w:w="2402"/>
        <w:gridCol w:w="2403"/>
        <w:gridCol w:w="2403"/>
      </w:tblGrid>
      <w:tr w:rsidR="0003184F" w:rsidRPr="002D07CC" w14:paraId="06E81E49" w14:textId="77777777" w:rsidTr="00450B55">
        <w:trPr>
          <w:trHeight w:val="297"/>
        </w:trPr>
        <w:tc>
          <w:tcPr>
            <w:tcW w:w="2463" w:type="dxa"/>
            <w:vMerge w:val="restart"/>
          </w:tcPr>
          <w:p w14:paraId="2FF7619D" w14:textId="77777777" w:rsidR="0003184F" w:rsidRPr="002D07CC" w:rsidRDefault="0003184F" w:rsidP="00450B55">
            <w:pPr>
              <w:spacing w:line="480" w:lineRule="auto"/>
              <w:contextualSpacing/>
              <w:jc w:val="center"/>
              <w:rPr>
                <w:rFonts w:ascii="Times New Roman" w:hAnsi="Times New Roman" w:cs="Times New Roman"/>
                <w:b/>
                <w:sz w:val="24"/>
                <w:szCs w:val="24"/>
                <w:highlight w:val="yellow"/>
              </w:rPr>
            </w:pPr>
            <w:r w:rsidRPr="002D07CC">
              <w:rPr>
                <w:rFonts w:ascii="Times New Roman" w:hAnsi="Times New Roman" w:cs="Times New Roman"/>
                <w:b/>
                <w:sz w:val="24"/>
                <w:szCs w:val="24"/>
                <w:highlight w:val="yellow"/>
              </w:rPr>
              <w:t>Показатель</w:t>
            </w:r>
          </w:p>
        </w:tc>
        <w:tc>
          <w:tcPr>
            <w:tcW w:w="7391" w:type="dxa"/>
            <w:gridSpan w:val="3"/>
          </w:tcPr>
          <w:p w14:paraId="4068934F" w14:textId="77777777" w:rsidR="0003184F" w:rsidRPr="002D07CC" w:rsidRDefault="0003184F" w:rsidP="00450B55">
            <w:pPr>
              <w:spacing w:line="480" w:lineRule="auto"/>
              <w:contextualSpacing/>
              <w:jc w:val="center"/>
              <w:rPr>
                <w:rFonts w:ascii="Times New Roman" w:hAnsi="Times New Roman" w:cs="Times New Roman"/>
                <w:b/>
                <w:sz w:val="24"/>
                <w:szCs w:val="24"/>
                <w:highlight w:val="yellow"/>
              </w:rPr>
            </w:pPr>
            <w:r w:rsidRPr="002D07CC">
              <w:rPr>
                <w:rFonts w:ascii="Times New Roman" w:hAnsi="Times New Roman" w:cs="Times New Roman"/>
                <w:b/>
                <w:sz w:val="24"/>
                <w:szCs w:val="24"/>
                <w:highlight w:val="yellow"/>
                <w:lang w:val="en-US"/>
              </w:rPr>
              <w:t>Me</w:t>
            </w:r>
            <w:r w:rsidRPr="002D07CC">
              <w:rPr>
                <w:rFonts w:ascii="Times New Roman" w:hAnsi="Times New Roman" w:cs="Times New Roman"/>
                <w:b/>
                <w:sz w:val="24"/>
                <w:szCs w:val="24"/>
                <w:highlight w:val="yellow"/>
              </w:rPr>
              <w:t xml:space="preserve"> </w:t>
            </w:r>
            <w:r w:rsidRPr="002D07CC">
              <w:rPr>
                <w:rFonts w:ascii="Times New Roman" w:hAnsi="Times New Roman" w:cs="Times New Roman"/>
                <w:b/>
                <w:sz w:val="24"/>
                <w:szCs w:val="24"/>
                <w:highlight w:val="yellow"/>
                <w:lang w:val="en-US"/>
              </w:rPr>
              <w:t>[Q1-Q3]</w:t>
            </w:r>
          </w:p>
        </w:tc>
      </w:tr>
      <w:tr w:rsidR="0003184F" w:rsidRPr="002D07CC" w14:paraId="31429D58" w14:textId="77777777" w:rsidTr="00450B55">
        <w:trPr>
          <w:trHeight w:val="297"/>
        </w:trPr>
        <w:tc>
          <w:tcPr>
            <w:tcW w:w="2463" w:type="dxa"/>
            <w:vMerge/>
          </w:tcPr>
          <w:p w14:paraId="11DE8F2B" w14:textId="77777777" w:rsidR="0003184F" w:rsidRPr="002D07CC" w:rsidRDefault="0003184F" w:rsidP="00450B55">
            <w:pPr>
              <w:spacing w:line="480" w:lineRule="auto"/>
              <w:contextualSpacing/>
              <w:jc w:val="both"/>
              <w:rPr>
                <w:rFonts w:ascii="Times New Roman" w:hAnsi="Times New Roman" w:cs="Times New Roman"/>
                <w:b/>
                <w:sz w:val="24"/>
                <w:szCs w:val="24"/>
                <w:highlight w:val="yellow"/>
              </w:rPr>
            </w:pPr>
          </w:p>
        </w:tc>
        <w:tc>
          <w:tcPr>
            <w:tcW w:w="2463" w:type="dxa"/>
          </w:tcPr>
          <w:p w14:paraId="22272463" w14:textId="77777777" w:rsidR="0003184F" w:rsidRPr="002D07CC" w:rsidRDefault="0003184F" w:rsidP="00450B55">
            <w:pPr>
              <w:spacing w:line="480" w:lineRule="auto"/>
              <w:contextualSpacing/>
              <w:jc w:val="center"/>
              <w:rPr>
                <w:rFonts w:ascii="Times New Roman" w:hAnsi="Times New Roman" w:cs="Times New Roman"/>
                <w:b/>
                <w:sz w:val="24"/>
                <w:szCs w:val="24"/>
                <w:highlight w:val="yellow"/>
              </w:rPr>
            </w:pPr>
            <w:r w:rsidRPr="002D07CC">
              <w:rPr>
                <w:rFonts w:ascii="Times New Roman" w:hAnsi="Times New Roman" w:cs="Times New Roman"/>
                <w:b/>
                <w:sz w:val="24"/>
                <w:szCs w:val="24"/>
                <w:highlight w:val="yellow"/>
              </w:rPr>
              <w:t>РИ Т1</w:t>
            </w:r>
          </w:p>
        </w:tc>
        <w:tc>
          <w:tcPr>
            <w:tcW w:w="2464" w:type="dxa"/>
          </w:tcPr>
          <w:p w14:paraId="52ABB38B" w14:textId="77777777" w:rsidR="0003184F" w:rsidRPr="002D07CC" w:rsidRDefault="0003184F" w:rsidP="00450B55">
            <w:pPr>
              <w:spacing w:line="480" w:lineRule="auto"/>
              <w:contextualSpacing/>
              <w:jc w:val="center"/>
              <w:rPr>
                <w:rFonts w:ascii="Times New Roman" w:hAnsi="Times New Roman" w:cs="Times New Roman"/>
                <w:b/>
                <w:sz w:val="24"/>
                <w:szCs w:val="24"/>
                <w:highlight w:val="yellow"/>
              </w:rPr>
            </w:pPr>
            <w:r w:rsidRPr="002D07CC">
              <w:rPr>
                <w:rFonts w:ascii="Times New Roman" w:hAnsi="Times New Roman" w:cs="Times New Roman"/>
                <w:b/>
                <w:sz w:val="24"/>
                <w:szCs w:val="24"/>
                <w:highlight w:val="yellow"/>
              </w:rPr>
              <w:t>РИ Т2</w:t>
            </w:r>
          </w:p>
        </w:tc>
        <w:tc>
          <w:tcPr>
            <w:tcW w:w="2464" w:type="dxa"/>
          </w:tcPr>
          <w:p w14:paraId="2013C393" w14:textId="77777777" w:rsidR="0003184F" w:rsidRPr="002D07CC" w:rsidRDefault="0003184F" w:rsidP="00450B55">
            <w:pPr>
              <w:spacing w:line="480" w:lineRule="auto"/>
              <w:contextualSpacing/>
              <w:jc w:val="center"/>
              <w:rPr>
                <w:rFonts w:ascii="Times New Roman" w:hAnsi="Times New Roman" w:cs="Times New Roman"/>
                <w:b/>
                <w:sz w:val="24"/>
                <w:szCs w:val="24"/>
                <w:highlight w:val="yellow"/>
                <w:lang w:val="en-US"/>
              </w:rPr>
            </w:pPr>
            <w:r w:rsidRPr="002D07CC">
              <w:rPr>
                <w:rFonts w:ascii="Times New Roman" w:hAnsi="Times New Roman" w:cs="Times New Roman"/>
                <w:b/>
                <w:sz w:val="24"/>
                <w:szCs w:val="24"/>
                <w:highlight w:val="yellow"/>
              </w:rPr>
              <w:t xml:space="preserve">РИ </w:t>
            </w:r>
            <w:r w:rsidRPr="002D07CC">
              <w:rPr>
                <w:rFonts w:ascii="Times New Roman" w:hAnsi="Times New Roman" w:cs="Times New Roman"/>
                <w:b/>
                <w:sz w:val="24"/>
                <w:szCs w:val="24"/>
                <w:highlight w:val="yellow"/>
                <w:lang w:val="en-US"/>
              </w:rPr>
              <w:t>Ceveron Alfa</w:t>
            </w:r>
          </w:p>
        </w:tc>
      </w:tr>
      <w:tr w:rsidR="0003184F" w:rsidRPr="002D07CC" w14:paraId="682A3AFD" w14:textId="77777777" w:rsidTr="00450B55">
        <w:tc>
          <w:tcPr>
            <w:tcW w:w="2463" w:type="dxa"/>
          </w:tcPr>
          <w:p w14:paraId="639B029F" w14:textId="77777777" w:rsidR="0003184F" w:rsidRPr="002D07CC" w:rsidRDefault="0003184F" w:rsidP="00450B55">
            <w:pPr>
              <w:spacing w:line="480" w:lineRule="auto"/>
              <w:contextualSpacing/>
              <w:jc w:val="both"/>
              <w:rPr>
                <w:rFonts w:ascii="Times New Roman" w:hAnsi="Times New Roman" w:cs="Times New Roman"/>
                <w:sz w:val="24"/>
                <w:szCs w:val="24"/>
                <w:highlight w:val="yellow"/>
              </w:rPr>
            </w:pPr>
            <w:r w:rsidRPr="002D07CC">
              <w:rPr>
                <w:rFonts w:ascii="Times New Roman" w:hAnsi="Times New Roman" w:cs="Times New Roman"/>
                <w:b/>
                <w:color w:val="000000"/>
                <w:sz w:val="24"/>
                <w:szCs w:val="24"/>
                <w:highlight w:val="yellow"/>
              </w:rPr>
              <w:t>LagTime, мин</w:t>
            </w:r>
          </w:p>
        </w:tc>
        <w:tc>
          <w:tcPr>
            <w:tcW w:w="2463" w:type="dxa"/>
          </w:tcPr>
          <w:p w14:paraId="4CC07CCE" w14:textId="77777777" w:rsidR="0003184F" w:rsidRPr="002D07CC" w:rsidRDefault="0003184F" w:rsidP="00450B55">
            <w:pPr>
              <w:spacing w:line="480" w:lineRule="auto"/>
              <w:contextualSpacing/>
              <w:jc w:val="center"/>
              <w:rPr>
                <w:rFonts w:ascii="Times New Roman" w:hAnsi="Times New Roman" w:cs="Times New Roman"/>
                <w:sz w:val="24"/>
                <w:szCs w:val="24"/>
                <w:highlight w:val="yellow"/>
              </w:rPr>
            </w:pPr>
            <w:r w:rsidRPr="002D07CC">
              <w:rPr>
                <w:rFonts w:ascii="Times New Roman" w:hAnsi="Times New Roman" w:cs="Times New Roman"/>
                <w:sz w:val="24"/>
                <w:szCs w:val="24"/>
                <w:highlight w:val="yellow"/>
              </w:rPr>
              <w:t>2,33-</w:t>
            </w:r>
            <w:r w:rsidRPr="002D07CC">
              <w:rPr>
                <w:rFonts w:ascii="Times New Roman" w:hAnsi="Times New Roman" w:cs="Times New Roman"/>
                <w:sz w:val="24"/>
                <w:szCs w:val="24"/>
                <w:highlight w:val="yellow"/>
                <w:lang w:val="en-US"/>
              </w:rPr>
              <w:t>4</w:t>
            </w:r>
            <w:r w:rsidRPr="002D07CC">
              <w:rPr>
                <w:rFonts w:ascii="Times New Roman" w:hAnsi="Times New Roman" w:cs="Times New Roman"/>
                <w:sz w:val="24"/>
                <w:szCs w:val="24"/>
                <w:highlight w:val="yellow"/>
              </w:rPr>
              <w:t>,</w:t>
            </w:r>
            <w:r w:rsidRPr="002D07CC">
              <w:rPr>
                <w:rFonts w:ascii="Times New Roman" w:hAnsi="Times New Roman" w:cs="Times New Roman"/>
                <w:sz w:val="24"/>
                <w:szCs w:val="24"/>
                <w:highlight w:val="yellow"/>
                <w:lang w:val="en-US"/>
              </w:rPr>
              <w:t>10</w:t>
            </w:r>
          </w:p>
        </w:tc>
        <w:tc>
          <w:tcPr>
            <w:tcW w:w="2464" w:type="dxa"/>
          </w:tcPr>
          <w:p w14:paraId="0F80CC05" w14:textId="77777777" w:rsidR="0003184F" w:rsidRPr="002D07CC" w:rsidRDefault="0003184F" w:rsidP="00450B55">
            <w:pPr>
              <w:spacing w:line="480" w:lineRule="auto"/>
              <w:contextualSpacing/>
              <w:jc w:val="center"/>
              <w:rPr>
                <w:rFonts w:ascii="Times New Roman" w:hAnsi="Times New Roman" w:cs="Times New Roman"/>
                <w:sz w:val="24"/>
                <w:szCs w:val="24"/>
                <w:highlight w:val="yellow"/>
              </w:rPr>
            </w:pPr>
            <w:r w:rsidRPr="002D07CC">
              <w:rPr>
                <w:rFonts w:ascii="Times New Roman" w:hAnsi="Times New Roman" w:cs="Times New Roman"/>
                <w:sz w:val="24"/>
                <w:szCs w:val="24"/>
                <w:highlight w:val="yellow"/>
              </w:rPr>
              <w:t>1,60-3,00</w:t>
            </w:r>
          </w:p>
        </w:tc>
        <w:tc>
          <w:tcPr>
            <w:tcW w:w="2464" w:type="dxa"/>
          </w:tcPr>
          <w:p w14:paraId="5B1FA5D8" w14:textId="77777777" w:rsidR="0003184F" w:rsidRPr="002D07CC" w:rsidRDefault="0003184F" w:rsidP="00450B55">
            <w:pPr>
              <w:spacing w:line="480" w:lineRule="auto"/>
              <w:contextualSpacing/>
              <w:jc w:val="center"/>
              <w:rPr>
                <w:rFonts w:ascii="Times New Roman" w:hAnsi="Times New Roman" w:cs="Times New Roman"/>
                <w:sz w:val="24"/>
                <w:szCs w:val="24"/>
                <w:highlight w:val="yellow"/>
              </w:rPr>
            </w:pPr>
            <w:r w:rsidRPr="002D07CC">
              <w:rPr>
                <w:rFonts w:ascii="Times New Roman" w:hAnsi="Times New Roman" w:cs="Times New Roman"/>
                <w:sz w:val="24"/>
                <w:szCs w:val="24"/>
                <w:highlight w:val="yellow"/>
              </w:rPr>
              <w:t>-</w:t>
            </w:r>
          </w:p>
        </w:tc>
      </w:tr>
      <w:tr w:rsidR="0003184F" w:rsidRPr="002D07CC" w14:paraId="23B1E510" w14:textId="77777777" w:rsidTr="00450B55">
        <w:tc>
          <w:tcPr>
            <w:tcW w:w="2463" w:type="dxa"/>
          </w:tcPr>
          <w:p w14:paraId="3725EEDA" w14:textId="120E6279" w:rsidR="0003184F" w:rsidRPr="002D07CC" w:rsidRDefault="0003184F" w:rsidP="00450B55">
            <w:pPr>
              <w:spacing w:line="480" w:lineRule="auto"/>
              <w:contextualSpacing/>
              <w:jc w:val="both"/>
              <w:rPr>
                <w:rFonts w:ascii="Times New Roman" w:hAnsi="Times New Roman" w:cs="Times New Roman"/>
                <w:sz w:val="24"/>
                <w:szCs w:val="24"/>
                <w:highlight w:val="yellow"/>
              </w:rPr>
            </w:pPr>
            <w:r w:rsidRPr="002D07CC">
              <w:rPr>
                <w:rFonts w:ascii="Times New Roman" w:hAnsi="Times New Roman" w:cs="Times New Roman"/>
                <w:b/>
                <w:sz w:val="24"/>
                <w:szCs w:val="24"/>
                <w:highlight w:val="yellow"/>
                <w:lang w:val="en-US"/>
              </w:rPr>
              <w:t>ETP</w:t>
            </w:r>
            <w:r w:rsidR="00487ED8">
              <w:rPr>
                <w:rFonts w:ascii="Times New Roman" w:hAnsi="Times New Roman" w:cs="Times New Roman"/>
                <w:b/>
                <w:sz w:val="24"/>
                <w:szCs w:val="24"/>
                <w:highlight w:val="yellow"/>
              </w:rPr>
              <w:t>, нмоль/</w:t>
            </w:r>
            <w:r w:rsidRPr="002D07CC">
              <w:rPr>
                <w:rFonts w:ascii="Times New Roman" w:hAnsi="Times New Roman" w:cs="Times New Roman"/>
                <w:b/>
                <w:sz w:val="24"/>
                <w:szCs w:val="24"/>
                <w:highlight w:val="yellow"/>
              </w:rPr>
              <w:t>мин</w:t>
            </w:r>
          </w:p>
        </w:tc>
        <w:tc>
          <w:tcPr>
            <w:tcW w:w="2463" w:type="dxa"/>
          </w:tcPr>
          <w:p w14:paraId="4548ED19" w14:textId="77777777" w:rsidR="0003184F" w:rsidRPr="002D07CC" w:rsidRDefault="0003184F" w:rsidP="00450B55">
            <w:pPr>
              <w:contextualSpacing/>
              <w:jc w:val="center"/>
              <w:rPr>
                <w:rFonts w:ascii="Times New Roman" w:hAnsi="Times New Roman" w:cs="Times New Roman"/>
                <w:sz w:val="24"/>
                <w:szCs w:val="24"/>
                <w:highlight w:val="yellow"/>
              </w:rPr>
            </w:pPr>
            <w:r w:rsidRPr="002D07CC">
              <w:rPr>
                <w:rFonts w:ascii="Times New Roman" w:hAnsi="Times New Roman" w:cs="Times New Roman"/>
                <w:sz w:val="24"/>
                <w:szCs w:val="24"/>
                <w:highlight w:val="yellow"/>
              </w:rPr>
              <w:t>1478</w:t>
            </w:r>
            <w:r w:rsidRPr="002D07CC">
              <w:rPr>
                <w:rFonts w:ascii="Times New Roman" w:hAnsi="Times New Roman" w:cs="Times New Roman"/>
                <w:sz w:val="24"/>
                <w:szCs w:val="24"/>
                <w:highlight w:val="yellow"/>
                <w:lang w:val="en-US"/>
              </w:rPr>
              <w:t>,00-</w:t>
            </w:r>
            <w:r w:rsidRPr="002D07CC">
              <w:rPr>
                <w:rFonts w:ascii="Times New Roman" w:hAnsi="Times New Roman" w:cs="Times New Roman"/>
                <w:sz w:val="24"/>
                <w:szCs w:val="24"/>
                <w:highlight w:val="yellow"/>
              </w:rPr>
              <w:t>2595</w:t>
            </w:r>
            <w:r w:rsidRPr="002D07CC">
              <w:rPr>
                <w:rFonts w:ascii="Times New Roman" w:hAnsi="Times New Roman" w:cs="Times New Roman"/>
                <w:sz w:val="24"/>
                <w:szCs w:val="24"/>
                <w:highlight w:val="yellow"/>
                <w:lang w:val="en-US"/>
              </w:rPr>
              <w:t>,00</w:t>
            </w:r>
          </w:p>
        </w:tc>
        <w:tc>
          <w:tcPr>
            <w:tcW w:w="2464" w:type="dxa"/>
          </w:tcPr>
          <w:p w14:paraId="19BCB200" w14:textId="77777777" w:rsidR="0003184F" w:rsidRPr="002D07CC" w:rsidRDefault="0003184F" w:rsidP="00450B55">
            <w:pPr>
              <w:contextualSpacing/>
              <w:jc w:val="center"/>
              <w:rPr>
                <w:rFonts w:ascii="Times New Roman" w:hAnsi="Times New Roman" w:cs="Times New Roman"/>
                <w:sz w:val="24"/>
                <w:szCs w:val="24"/>
                <w:highlight w:val="yellow"/>
              </w:rPr>
            </w:pPr>
            <w:r w:rsidRPr="002D07CC">
              <w:rPr>
                <w:rFonts w:ascii="Times New Roman" w:hAnsi="Times New Roman" w:cs="Times New Roman"/>
                <w:sz w:val="24"/>
                <w:szCs w:val="24"/>
                <w:highlight w:val="yellow"/>
              </w:rPr>
              <w:t>2451,00-3161,00</w:t>
            </w:r>
          </w:p>
        </w:tc>
        <w:tc>
          <w:tcPr>
            <w:tcW w:w="2464" w:type="dxa"/>
          </w:tcPr>
          <w:p w14:paraId="77055C46" w14:textId="77777777" w:rsidR="0003184F" w:rsidRPr="002D07CC" w:rsidRDefault="0003184F" w:rsidP="00450B55">
            <w:pPr>
              <w:spacing w:line="480" w:lineRule="auto"/>
              <w:contextualSpacing/>
              <w:jc w:val="center"/>
              <w:rPr>
                <w:rFonts w:ascii="Times New Roman" w:hAnsi="Times New Roman" w:cs="Times New Roman"/>
                <w:sz w:val="24"/>
                <w:szCs w:val="24"/>
                <w:highlight w:val="yellow"/>
              </w:rPr>
            </w:pPr>
            <w:r w:rsidRPr="002D07CC">
              <w:rPr>
                <w:rFonts w:ascii="Times New Roman" w:hAnsi="Times New Roman" w:cs="Times New Roman"/>
                <w:sz w:val="24"/>
                <w:szCs w:val="24"/>
                <w:highlight w:val="yellow"/>
              </w:rPr>
              <w:t>1299-3145</w:t>
            </w:r>
          </w:p>
        </w:tc>
      </w:tr>
      <w:tr w:rsidR="0003184F" w:rsidRPr="002D07CC" w14:paraId="2830C936" w14:textId="77777777" w:rsidTr="00450B55">
        <w:tc>
          <w:tcPr>
            <w:tcW w:w="2463" w:type="dxa"/>
          </w:tcPr>
          <w:p w14:paraId="7AAD658F" w14:textId="40114D8A" w:rsidR="0003184F" w:rsidRPr="002D07CC" w:rsidRDefault="0003184F" w:rsidP="00450B55">
            <w:pPr>
              <w:spacing w:line="480" w:lineRule="auto"/>
              <w:contextualSpacing/>
              <w:jc w:val="both"/>
              <w:rPr>
                <w:rFonts w:ascii="Times New Roman" w:hAnsi="Times New Roman" w:cs="Times New Roman"/>
                <w:sz w:val="24"/>
                <w:szCs w:val="24"/>
                <w:highlight w:val="yellow"/>
              </w:rPr>
            </w:pPr>
            <w:r w:rsidRPr="002D07CC">
              <w:rPr>
                <w:rFonts w:ascii="Times New Roman" w:hAnsi="Times New Roman" w:cs="Times New Roman"/>
                <w:b/>
                <w:sz w:val="24"/>
                <w:szCs w:val="24"/>
                <w:highlight w:val="yellow"/>
                <w:lang w:val="en-US"/>
              </w:rPr>
              <w:t>Peak thr.</w:t>
            </w:r>
            <w:r w:rsidR="00487ED8">
              <w:rPr>
                <w:rFonts w:ascii="Times New Roman" w:hAnsi="Times New Roman" w:cs="Times New Roman"/>
                <w:b/>
                <w:sz w:val="24"/>
                <w:szCs w:val="24"/>
                <w:highlight w:val="yellow"/>
              </w:rPr>
              <w:t>, нмоль</w:t>
            </w:r>
          </w:p>
        </w:tc>
        <w:tc>
          <w:tcPr>
            <w:tcW w:w="2463" w:type="dxa"/>
          </w:tcPr>
          <w:p w14:paraId="691E1B7A" w14:textId="77777777" w:rsidR="0003184F" w:rsidRPr="002D07CC" w:rsidRDefault="0003184F" w:rsidP="00450B55">
            <w:pPr>
              <w:contextualSpacing/>
              <w:jc w:val="center"/>
              <w:rPr>
                <w:rFonts w:ascii="Times New Roman" w:hAnsi="Times New Roman" w:cs="Times New Roman"/>
                <w:sz w:val="24"/>
                <w:szCs w:val="24"/>
                <w:highlight w:val="yellow"/>
              </w:rPr>
            </w:pPr>
            <w:r w:rsidRPr="002D07CC">
              <w:rPr>
                <w:rFonts w:ascii="Times New Roman" w:hAnsi="Times New Roman" w:cs="Times New Roman"/>
                <w:sz w:val="24"/>
                <w:szCs w:val="24"/>
                <w:highlight w:val="yellow"/>
              </w:rPr>
              <w:t>221,6</w:t>
            </w:r>
            <w:r w:rsidRPr="002D07CC">
              <w:rPr>
                <w:rFonts w:ascii="Times New Roman" w:hAnsi="Times New Roman" w:cs="Times New Roman"/>
                <w:sz w:val="24"/>
                <w:szCs w:val="24"/>
                <w:highlight w:val="yellow"/>
                <w:lang w:val="en-US"/>
              </w:rPr>
              <w:t>0-</w:t>
            </w:r>
            <w:r w:rsidRPr="002D07CC">
              <w:rPr>
                <w:rFonts w:ascii="Times New Roman" w:hAnsi="Times New Roman" w:cs="Times New Roman"/>
                <w:sz w:val="24"/>
                <w:szCs w:val="24"/>
                <w:highlight w:val="yellow"/>
              </w:rPr>
              <w:t>412,0</w:t>
            </w:r>
            <w:r w:rsidRPr="002D07CC">
              <w:rPr>
                <w:rFonts w:ascii="Times New Roman" w:hAnsi="Times New Roman" w:cs="Times New Roman"/>
                <w:sz w:val="24"/>
                <w:szCs w:val="24"/>
                <w:highlight w:val="yellow"/>
                <w:lang w:val="en-US"/>
              </w:rPr>
              <w:t>0</w:t>
            </w:r>
          </w:p>
        </w:tc>
        <w:tc>
          <w:tcPr>
            <w:tcW w:w="2464" w:type="dxa"/>
          </w:tcPr>
          <w:p w14:paraId="43111354" w14:textId="77777777" w:rsidR="0003184F" w:rsidRPr="002D07CC" w:rsidRDefault="0003184F" w:rsidP="00450B55">
            <w:pPr>
              <w:spacing w:line="480" w:lineRule="auto"/>
              <w:contextualSpacing/>
              <w:jc w:val="center"/>
              <w:rPr>
                <w:rFonts w:ascii="Times New Roman" w:hAnsi="Times New Roman" w:cs="Times New Roman"/>
                <w:sz w:val="24"/>
                <w:szCs w:val="24"/>
                <w:highlight w:val="yellow"/>
              </w:rPr>
            </w:pPr>
            <w:r w:rsidRPr="002D07CC">
              <w:rPr>
                <w:rFonts w:ascii="Times New Roman" w:hAnsi="Times New Roman" w:cs="Times New Roman"/>
                <w:sz w:val="24"/>
                <w:szCs w:val="24"/>
                <w:highlight w:val="yellow"/>
              </w:rPr>
              <w:t>161,60-479,30</w:t>
            </w:r>
          </w:p>
        </w:tc>
        <w:tc>
          <w:tcPr>
            <w:tcW w:w="2464" w:type="dxa"/>
          </w:tcPr>
          <w:p w14:paraId="011F4899" w14:textId="77777777" w:rsidR="0003184F" w:rsidRPr="002D07CC" w:rsidRDefault="0003184F" w:rsidP="00450B55">
            <w:pPr>
              <w:spacing w:line="480" w:lineRule="auto"/>
              <w:contextualSpacing/>
              <w:jc w:val="center"/>
              <w:rPr>
                <w:rFonts w:ascii="Times New Roman" w:hAnsi="Times New Roman" w:cs="Times New Roman"/>
                <w:sz w:val="24"/>
                <w:szCs w:val="24"/>
                <w:highlight w:val="yellow"/>
              </w:rPr>
            </w:pPr>
            <w:r w:rsidRPr="002D07CC">
              <w:rPr>
                <w:rFonts w:ascii="Times New Roman" w:hAnsi="Times New Roman" w:cs="Times New Roman"/>
                <w:sz w:val="24"/>
                <w:szCs w:val="24"/>
                <w:highlight w:val="yellow"/>
              </w:rPr>
              <w:t>84-626</w:t>
            </w:r>
          </w:p>
        </w:tc>
      </w:tr>
      <w:tr w:rsidR="0003184F" w:rsidRPr="002D07CC" w14:paraId="4DD757AA" w14:textId="77777777" w:rsidTr="00450B55">
        <w:tc>
          <w:tcPr>
            <w:tcW w:w="2463" w:type="dxa"/>
          </w:tcPr>
          <w:p w14:paraId="72A3D5DC" w14:textId="77777777" w:rsidR="0003184F" w:rsidRPr="002D07CC" w:rsidRDefault="0003184F" w:rsidP="00450B55">
            <w:pPr>
              <w:spacing w:line="480" w:lineRule="auto"/>
              <w:contextualSpacing/>
              <w:jc w:val="both"/>
              <w:rPr>
                <w:rFonts w:ascii="Times New Roman" w:hAnsi="Times New Roman" w:cs="Times New Roman"/>
                <w:sz w:val="24"/>
                <w:szCs w:val="24"/>
                <w:highlight w:val="yellow"/>
              </w:rPr>
            </w:pPr>
            <w:r w:rsidRPr="002D07CC">
              <w:rPr>
                <w:rFonts w:ascii="Times New Roman" w:hAnsi="Times New Roman" w:cs="Times New Roman"/>
                <w:b/>
                <w:sz w:val="24"/>
                <w:szCs w:val="24"/>
                <w:highlight w:val="yellow"/>
                <w:lang w:val="en-US"/>
              </w:rPr>
              <w:t>ttPeak</w:t>
            </w:r>
            <w:r w:rsidRPr="002D07CC">
              <w:rPr>
                <w:rFonts w:ascii="Times New Roman" w:hAnsi="Times New Roman" w:cs="Times New Roman"/>
                <w:b/>
                <w:sz w:val="24"/>
                <w:szCs w:val="24"/>
                <w:highlight w:val="yellow"/>
              </w:rPr>
              <w:t>, мин</w:t>
            </w:r>
          </w:p>
        </w:tc>
        <w:tc>
          <w:tcPr>
            <w:tcW w:w="2463" w:type="dxa"/>
          </w:tcPr>
          <w:p w14:paraId="12505BF0" w14:textId="77777777" w:rsidR="0003184F" w:rsidRPr="002D07CC" w:rsidRDefault="0003184F" w:rsidP="00450B55">
            <w:pPr>
              <w:spacing w:line="480" w:lineRule="auto"/>
              <w:contextualSpacing/>
              <w:jc w:val="center"/>
              <w:rPr>
                <w:rFonts w:ascii="Times New Roman" w:hAnsi="Times New Roman" w:cs="Times New Roman"/>
                <w:sz w:val="24"/>
                <w:szCs w:val="24"/>
                <w:highlight w:val="yellow"/>
              </w:rPr>
            </w:pPr>
            <w:r w:rsidRPr="002D07CC">
              <w:rPr>
                <w:rFonts w:ascii="Times New Roman" w:hAnsi="Times New Roman" w:cs="Times New Roman"/>
                <w:sz w:val="24"/>
                <w:szCs w:val="24"/>
                <w:highlight w:val="yellow"/>
              </w:rPr>
              <w:t>4,86-8,33</w:t>
            </w:r>
          </w:p>
        </w:tc>
        <w:tc>
          <w:tcPr>
            <w:tcW w:w="2464" w:type="dxa"/>
          </w:tcPr>
          <w:p w14:paraId="2FE3BD90" w14:textId="77777777" w:rsidR="0003184F" w:rsidRPr="002D07CC" w:rsidRDefault="0003184F" w:rsidP="00450B55">
            <w:pPr>
              <w:spacing w:line="480" w:lineRule="auto"/>
              <w:contextualSpacing/>
              <w:jc w:val="center"/>
              <w:rPr>
                <w:rFonts w:ascii="Times New Roman" w:hAnsi="Times New Roman" w:cs="Times New Roman"/>
                <w:sz w:val="24"/>
                <w:szCs w:val="24"/>
                <w:highlight w:val="yellow"/>
              </w:rPr>
            </w:pPr>
            <w:r w:rsidRPr="002D07CC">
              <w:rPr>
                <w:rFonts w:ascii="Times New Roman" w:hAnsi="Times New Roman" w:cs="Times New Roman"/>
                <w:sz w:val="24"/>
                <w:szCs w:val="24"/>
                <w:highlight w:val="yellow"/>
              </w:rPr>
              <w:t>4,80-8,80</w:t>
            </w:r>
          </w:p>
        </w:tc>
        <w:tc>
          <w:tcPr>
            <w:tcW w:w="2464" w:type="dxa"/>
          </w:tcPr>
          <w:p w14:paraId="4EEBF9B4" w14:textId="77777777" w:rsidR="0003184F" w:rsidRPr="002D07CC" w:rsidRDefault="0003184F" w:rsidP="00450B55">
            <w:pPr>
              <w:spacing w:line="480" w:lineRule="auto"/>
              <w:contextualSpacing/>
              <w:jc w:val="center"/>
              <w:rPr>
                <w:rFonts w:ascii="Times New Roman" w:hAnsi="Times New Roman" w:cs="Times New Roman"/>
                <w:sz w:val="24"/>
                <w:szCs w:val="24"/>
                <w:highlight w:val="yellow"/>
              </w:rPr>
            </w:pPr>
            <w:r w:rsidRPr="002D07CC">
              <w:rPr>
                <w:rFonts w:ascii="Times New Roman" w:hAnsi="Times New Roman" w:cs="Times New Roman"/>
                <w:sz w:val="24"/>
                <w:szCs w:val="24"/>
                <w:highlight w:val="yellow"/>
              </w:rPr>
              <w:t>-</w:t>
            </w:r>
          </w:p>
        </w:tc>
      </w:tr>
      <w:tr w:rsidR="0003184F" w:rsidRPr="002D07CC" w14:paraId="5C18FE6D" w14:textId="77777777" w:rsidTr="00450B55">
        <w:tc>
          <w:tcPr>
            <w:tcW w:w="2463" w:type="dxa"/>
          </w:tcPr>
          <w:p w14:paraId="594AF677" w14:textId="77777777" w:rsidR="0003184F" w:rsidRPr="002D07CC" w:rsidRDefault="0003184F" w:rsidP="00450B55">
            <w:pPr>
              <w:spacing w:line="480" w:lineRule="auto"/>
              <w:contextualSpacing/>
              <w:jc w:val="both"/>
              <w:rPr>
                <w:rFonts w:ascii="Times New Roman" w:hAnsi="Times New Roman" w:cs="Times New Roman"/>
                <w:sz w:val="24"/>
                <w:szCs w:val="24"/>
                <w:highlight w:val="yellow"/>
              </w:rPr>
            </w:pPr>
            <w:r w:rsidRPr="002D07CC">
              <w:rPr>
                <w:rFonts w:ascii="Times New Roman" w:hAnsi="Times New Roman" w:cs="Times New Roman"/>
                <w:b/>
                <w:sz w:val="24"/>
                <w:szCs w:val="24"/>
                <w:highlight w:val="yellow"/>
                <w:lang w:val="en-US"/>
              </w:rPr>
              <w:t>VI</w:t>
            </w:r>
            <w:r w:rsidRPr="002D07CC">
              <w:rPr>
                <w:rFonts w:ascii="Times New Roman" w:hAnsi="Times New Roman" w:cs="Times New Roman"/>
                <w:b/>
                <w:sz w:val="24"/>
                <w:szCs w:val="24"/>
                <w:highlight w:val="yellow"/>
              </w:rPr>
              <w:t>, нмоль/мин</w:t>
            </w:r>
          </w:p>
        </w:tc>
        <w:tc>
          <w:tcPr>
            <w:tcW w:w="2463" w:type="dxa"/>
          </w:tcPr>
          <w:p w14:paraId="2BDE07AD" w14:textId="77777777" w:rsidR="0003184F" w:rsidRPr="002D07CC" w:rsidRDefault="0003184F" w:rsidP="00450B55">
            <w:pPr>
              <w:spacing w:line="480" w:lineRule="auto"/>
              <w:contextualSpacing/>
              <w:jc w:val="center"/>
              <w:rPr>
                <w:rFonts w:ascii="Times New Roman" w:hAnsi="Times New Roman" w:cs="Times New Roman"/>
                <w:sz w:val="24"/>
                <w:szCs w:val="24"/>
                <w:highlight w:val="yellow"/>
              </w:rPr>
            </w:pPr>
            <w:r w:rsidRPr="002D07CC">
              <w:rPr>
                <w:rFonts w:ascii="Times New Roman" w:hAnsi="Times New Roman" w:cs="Times New Roman"/>
                <w:sz w:val="24"/>
                <w:szCs w:val="24"/>
                <w:highlight w:val="yellow"/>
              </w:rPr>
              <w:t>49,13-154,90</w:t>
            </w:r>
          </w:p>
        </w:tc>
        <w:tc>
          <w:tcPr>
            <w:tcW w:w="2464" w:type="dxa"/>
          </w:tcPr>
          <w:p w14:paraId="7FD94685" w14:textId="77777777" w:rsidR="0003184F" w:rsidRPr="002D07CC" w:rsidRDefault="0003184F" w:rsidP="00450B55">
            <w:pPr>
              <w:contextualSpacing/>
              <w:jc w:val="center"/>
              <w:rPr>
                <w:rFonts w:ascii="Times New Roman" w:hAnsi="Times New Roman" w:cs="Times New Roman"/>
                <w:sz w:val="24"/>
                <w:szCs w:val="24"/>
                <w:highlight w:val="yellow"/>
              </w:rPr>
            </w:pPr>
            <w:r w:rsidRPr="002D07CC">
              <w:rPr>
                <w:rFonts w:ascii="Times New Roman" w:hAnsi="Times New Roman" w:cs="Times New Roman"/>
                <w:sz w:val="24"/>
                <w:szCs w:val="24"/>
                <w:highlight w:val="yellow"/>
              </w:rPr>
              <w:t>26,80-170,50</w:t>
            </w:r>
          </w:p>
        </w:tc>
        <w:tc>
          <w:tcPr>
            <w:tcW w:w="2464" w:type="dxa"/>
          </w:tcPr>
          <w:p w14:paraId="4D7351E1" w14:textId="77777777" w:rsidR="0003184F" w:rsidRPr="002D07CC" w:rsidRDefault="0003184F" w:rsidP="00450B55">
            <w:pPr>
              <w:spacing w:line="480" w:lineRule="auto"/>
              <w:contextualSpacing/>
              <w:jc w:val="center"/>
              <w:rPr>
                <w:rFonts w:ascii="Times New Roman" w:hAnsi="Times New Roman" w:cs="Times New Roman"/>
                <w:sz w:val="24"/>
                <w:szCs w:val="24"/>
                <w:highlight w:val="yellow"/>
              </w:rPr>
            </w:pPr>
            <w:r w:rsidRPr="002D07CC">
              <w:rPr>
                <w:rFonts w:ascii="Times New Roman" w:hAnsi="Times New Roman" w:cs="Times New Roman"/>
                <w:sz w:val="24"/>
                <w:szCs w:val="24"/>
                <w:highlight w:val="yellow"/>
              </w:rPr>
              <w:t>-</w:t>
            </w:r>
          </w:p>
        </w:tc>
      </w:tr>
    </w:tbl>
    <w:p w14:paraId="078FC760" w14:textId="03253A48" w:rsidR="0003184F" w:rsidRPr="006F6CCC" w:rsidRDefault="0003184F" w:rsidP="006F6CCC">
      <w:pPr>
        <w:spacing w:line="240" w:lineRule="auto"/>
        <w:contextualSpacing/>
        <w:jc w:val="both"/>
        <w:rPr>
          <w:rFonts w:ascii="Times New Roman" w:hAnsi="Times New Roman" w:cs="Times New Roman"/>
          <w:sz w:val="28"/>
          <w:szCs w:val="28"/>
        </w:rPr>
      </w:pPr>
      <w:r w:rsidRPr="002D07CC">
        <w:rPr>
          <w:rFonts w:ascii="Times New Roman" w:hAnsi="Times New Roman" w:cs="Times New Roman"/>
          <w:sz w:val="28"/>
          <w:szCs w:val="28"/>
          <w:highlight w:val="yellow"/>
        </w:rPr>
        <w:t>Примечания: РИ – референтный интервал, Т1 – технология 1 (</w:t>
      </w:r>
      <w:r w:rsidRPr="002D07CC">
        <w:rPr>
          <w:rFonts w:ascii="Times New Roman" w:hAnsi="Times New Roman" w:cs="Times New Roman"/>
          <w:sz w:val="28"/>
          <w:szCs w:val="28"/>
          <w:highlight w:val="yellow"/>
          <w:lang w:val="en-US"/>
        </w:rPr>
        <w:t>Fluoroscan</w:t>
      </w:r>
      <w:r w:rsidRPr="002D07CC">
        <w:rPr>
          <w:rFonts w:ascii="Times New Roman" w:hAnsi="Times New Roman" w:cs="Times New Roman"/>
          <w:sz w:val="28"/>
          <w:szCs w:val="28"/>
          <w:highlight w:val="yellow"/>
        </w:rPr>
        <w:t xml:space="preserve"> </w:t>
      </w:r>
      <w:r w:rsidRPr="002D07CC">
        <w:rPr>
          <w:rFonts w:ascii="Times New Roman" w:hAnsi="Times New Roman" w:cs="Times New Roman"/>
          <w:sz w:val="28"/>
          <w:szCs w:val="28"/>
          <w:highlight w:val="yellow"/>
          <w:lang w:val="en-US"/>
        </w:rPr>
        <w:t>Ascent</w:t>
      </w:r>
      <w:r w:rsidRPr="002D07CC">
        <w:rPr>
          <w:rFonts w:ascii="Times New Roman" w:hAnsi="Times New Roman" w:cs="Times New Roman"/>
          <w:sz w:val="28"/>
          <w:szCs w:val="28"/>
          <w:highlight w:val="yellow"/>
        </w:rPr>
        <w:t>), Т2 – технология 2 (</w:t>
      </w:r>
      <w:r w:rsidRPr="002D07CC">
        <w:rPr>
          <w:rFonts w:ascii="Times New Roman" w:hAnsi="Times New Roman" w:cs="Times New Roman"/>
          <w:sz w:val="28"/>
          <w:szCs w:val="28"/>
          <w:highlight w:val="yellow"/>
          <w:lang w:val="en-US"/>
        </w:rPr>
        <w:t>Ceveron</w:t>
      </w:r>
      <w:r w:rsidRPr="002D07CC">
        <w:rPr>
          <w:rFonts w:ascii="Times New Roman" w:hAnsi="Times New Roman" w:cs="Times New Roman"/>
          <w:sz w:val="28"/>
          <w:szCs w:val="28"/>
          <w:highlight w:val="yellow"/>
        </w:rPr>
        <w:t xml:space="preserve"> </w:t>
      </w:r>
      <w:r w:rsidRPr="002D07CC">
        <w:rPr>
          <w:rFonts w:ascii="Times New Roman" w:hAnsi="Times New Roman" w:cs="Times New Roman"/>
          <w:sz w:val="28"/>
          <w:szCs w:val="28"/>
          <w:highlight w:val="yellow"/>
          <w:lang w:val="en-US"/>
        </w:rPr>
        <w:t>Alfa</w:t>
      </w:r>
      <w:r w:rsidRPr="002D07CC">
        <w:rPr>
          <w:rFonts w:ascii="Times New Roman" w:hAnsi="Times New Roman" w:cs="Times New Roman"/>
          <w:sz w:val="28"/>
          <w:szCs w:val="28"/>
          <w:highlight w:val="yellow"/>
        </w:rPr>
        <w:t xml:space="preserve">), медиана (Ме) и интерквартильный размах измерений </w:t>
      </w:r>
      <w:r w:rsidR="006F6CCC" w:rsidRPr="002D07CC">
        <w:rPr>
          <w:rFonts w:ascii="Times New Roman" w:hAnsi="Times New Roman" w:cs="Times New Roman"/>
          <w:sz w:val="28"/>
          <w:szCs w:val="28"/>
          <w:highlight w:val="yellow"/>
        </w:rPr>
        <w:t>[</w:t>
      </w:r>
      <w:r w:rsidRPr="002D07CC">
        <w:rPr>
          <w:rFonts w:ascii="Times New Roman" w:hAnsi="Times New Roman" w:cs="Times New Roman"/>
          <w:sz w:val="28"/>
          <w:szCs w:val="28"/>
          <w:highlight w:val="yellow"/>
          <w:lang w:val="en-US"/>
        </w:rPr>
        <w:t>Q</w:t>
      </w:r>
      <w:r w:rsidRPr="002D07CC">
        <w:rPr>
          <w:rFonts w:ascii="Times New Roman" w:hAnsi="Times New Roman" w:cs="Times New Roman"/>
          <w:sz w:val="28"/>
          <w:szCs w:val="28"/>
          <w:highlight w:val="yellow"/>
        </w:rPr>
        <w:t>1-</w:t>
      </w:r>
      <w:r w:rsidRPr="002D07CC">
        <w:rPr>
          <w:rFonts w:ascii="Times New Roman" w:hAnsi="Times New Roman" w:cs="Times New Roman"/>
          <w:sz w:val="28"/>
          <w:szCs w:val="28"/>
          <w:highlight w:val="yellow"/>
          <w:lang w:val="en-US"/>
        </w:rPr>
        <w:t>Q</w:t>
      </w:r>
      <w:r w:rsidRPr="002D07CC">
        <w:rPr>
          <w:rFonts w:ascii="Times New Roman" w:hAnsi="Times New Roman" w:cs="Times New Roman"/>
          <w:sz w:val="28"/>
          <w:szCs w:val="28"/>
          <w:highlight w:val="yellow"/>
        </w:rPr>
        <w:t>3]</w:t>
      </w:r>
      <w:r w:rsidR="006F6CCC" w:rsidRPr="002D07CC">
        <w:rPr>
          <w:rFonts w:ascii="Times New Roman" w:hAnsi="Times New Roman" w:cs="Times New Roman"/>
          <w:sz w:val="28"/>
          <w:szCs w:val="28"/>
          <w:highlight w:val="yellow"/>
        </w:rPr>
        <w:t>, РИ Ceveron Alfa – РИ из инструкции к реагенту</w:t>
      </w:r>
    </w:p>
    <w:p w14:paraId="6EB3A1F6" w14:textId="77777777" w:rsidR="00E82E69" w:rsidRDefault="00E82E69" w:rsidP="0030435E">
      <w:pPr>
        <w:spacing w:line="480" w:lineRule="auto"/>
        <w:ind w:firstLine="708"/>
        <w:contextualSpacing/>
        <w:jc w:val="both"/>
        <w:rPr>
          <w:rFonts w:ascii="Times New Roman" w:hAnsi="Times New Roman" w:cs="Times New Roman"/>
          <w:b/>
          <w:sz w:val="28"/>
          <w:szCs w:val="28"/>
        </w:rPr>
      </w:pPr>
    </w:p>
    <w:p w14:paraId="156933F1" w14:textId="0FACAE9E" w:rsidR="00D00A71" w:rsidRDefault="00B1452F" w:rsidP="0030435E">
      <w:pPr>
        <w:spacing w:line="480" w:lineRule="auto"/>
        <w:ind w:firstLine="708"/>
        <w:contextualSpacing/>
        <w:jc w:val="both"/>
        <w:rPr>
          <w:rFonts w:ascii="Times New Roman" w:hAnsi="Times New Roman" w:cs="Times New Roman"/>
          <w:b/>
          <w:sz w:val="28"/>
          <w:szCs w:val="28"/>
        </w:rPr>
      </w:pPr>
      <w:r>
        <w:rPr>
          <w:rFonts w:ascii="Times New Roman" w:hAnsi="Times New Roman" w:cs="Times New Roman"/>
          <w:b/>
          <w:sz w:val="28"/>
          <w:szCs w:val="28"/>
        </w:rPr>
        <w:t>Обсуждение</w:t>
      </w:r>
    </w:p>
    <w:p w14:paraId="2249FDDC" w14:textId="0256878E" w:rsidR="00EF2837" w:rsidRDefault="00EF2837" w:rsidP="00BD370F">
      <w:pPr>
        <w:spacing w:line="48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В настоящее время</w:t>
      </w:r>
      <w:r w:rsidRPr="00D00A71">
        <w:rPr>
          <w:rFonts w:ascii="Times New Roman" w:hAnsi="Times New Roman" w:cs="Times New Roman"/>
          <w:sz w:val="28"/>
          <w:szCs w:val="28"/>
        </w:rPr>
        <w:t xml:space="preserve"> лаборатории </w:t>
      </w:r>
      <w:r>
        <w:rPr>
          <w:rFonts w:ascii="Times New Roman" w:hAnsi="Times New Roman" w:cs="Times New Roman"/>
          <w:sz w:val="28"/>
          <w:szCs w:val="28"/>
        </w:rPr>
        <w:t xml:space="preserve">часто </w:t>
      </w:r>
      <w:r w:rsidRPr="00D00A71">
        <w:rPr>
          <w:rFonts w:ascii="Times New Roman" w:hAnsi="Times New Roman" w:cs="Times New Roman"/>
          <w:sz w:val="28"/>
          <w:szCs w:val="28"/>
        </w:rPr>
        <w:t>используют свои</w:t>
      </w:r>
      <w:r>
        <w:rPr>
          <w:rFonts w:ascii="Times New Roman" w:hAnsi="Times New Roman" w:cs="Times New Roman"/>
          <w:sz w:val="28"/>
          <w:szCs w:val="28"/>
        </w:rPr>
        <w:t xml:space="preserve"> </w:t>
      </w:r>
      <w:r w:rsidRPr="00D00A71">
        <w:rPr>
          <w:rFonts w:ascii="Times New Roman" w:hAnsi="Times New Roman" w:cs="Times New Roman"/>
          <w:sz w:val="28"/>
          <w:szCs w:val="28"/>
        </w:rPr>
        <w:t>собственные протоколы</w:t>
      </w:r>
      <w:r>
        <w:rPr>
          <w:rFonts w:ascii="Times New Roman" w:hAnsi="Times New Roman" w:cs="Times New Roman"/>
          <w:sz w:val="28"/>
          <w:szCs w:val="28"/>
        </w:rPr>
        <w:t xml:space="preserve"> проведения ТГТ, </w:t>
      </w:r>
      <w:r w:rsidRPr="00D00A71">
        <w:rPr>
          <w:rFonts w:ascii="Times New Roman" w:hAnsi="Times New Roman" w:cs="Times New Roman"/>
          <w:sz w:val="28"/>
          <w:szCs w:val="28"/>
        </w:rPr>
        <w:t>источник и концентраци</w:t>
      </w:r>
      <w:r>
        <w:rPr>
          <w:rFonts w:ascii="Times New Roman" w:hAnsi="Times New Roman" w:cs="Times New Roman"/>
          <w:sz w:val="28"/>
          <w:szCs w:val="28"/>
        </w:rPr>
        <w:t>ю</w:t>
      </w:r>
      <w:r w:rsidRPr="00D00A71">
        <w:rPr>
          <w:rFonts w:ascii="Times New Roman" w:hAnsi="Times New Roman" w:cs="Times New Roman"/>
          <w:sz w:val="28"/>
          <w:szCs w:val="28"/>
        </w:rPr>
        <w:t xml:space="preserve"> ткан</w:t>
      </w:r>
      <w:r>
        <w:rPr>
          <w:rFonts w:ascii="Times New Roman" w:hAnsi="Times New Roman" w:cs="Times New Roman"/>
          <w:sz w:val="28"/>
          <w:szCs w:val="28"/>
        </w:rPr>
        <w:t xml:space="preserve">евого </w:t>
      </w:r>
      <w:r w:rsidRPr="00D00A71">
        <w:rPr>
          <w:rFonts w:ascii="Times New Roman" w:hAnsi="Times New Roman" w:cs="Times New Roman"/>
          <w:sz w:val="28"/>
          <w:szCs w:val="28"/>
        </w:rPr>
        <w:t>фактор</w:t>
      </w:r>
      <w:r>
        <w:rPr>
          <w:rFonts w:ascii="Times New Roman" w:hAnsi="Times New Roman" w:cs="Times New Roman"/>
          <w:sz w:val="28"/>
          <w:szCs w:val="28"/>
        </w:rPr>
        <w:t>а</w:t>
      </w:r>
      <w:r w:rsidRPr="00D00A71">
        <w:rPr>
          <w:rFonts w:ascii="Times New Roman" w:hAnsi="Times New Roman" w:cs="Times New Roman"/>
          <w:sz w:val="28"/>
          <w:szCs w:val="28"/>
        </w:rPr>
        <w:t xml:space="preserve"> и/или фосфолипид</w:t>
      </w:r>
      <w:r>
        <w:rPr>
          <w:rFonts w:ascii="Times New Roman" w:hAnsi="Times New Roman" w:cs="Times New Roman"/>
          <w:sz w:val="28"/>
          <w:szCs w:val="28"/>
        </w:rPr>
        <w:t>ов</w:t>
      </w:r>
      <w:r w:rsidRPr="00D00A71">
        <w:rPr>
          <w:rFonts w:ascii="Times New Roman" w:hAnsi="Times New Roman" w:cs="Times New Roman"/>
          <w:sz w:val="28"/>
          <w:szCs w:val="28"/>
        </w:rPr>
        <w:t>, тип и</w:t>
      </w:r>
      <w:r>
        <w:rPr>
          <w:rFonts w:ascii="Times New Roman" w:hAnsi="Times New Roman" w:cs="Times New Roman"/>
          <w:sz w:val="28"/>
          <w:szCs w:val="28"/>
        </w:rPr>
        <w:t xml:space="preserve"> </w:t>
      </w:r>
      <w:r w:rsidRPr="00D00A71">
        <w:rPr>
          <w:rFonts w:ascii="Times New Roman" w:hAnsi="Times New Roman" w:cs="Times New Roman"/>
          <w:sz w:val="28"/>
          <w:szCs w:val="28"/>
        </w:rPr>
        <w:t>концентраци</w:t>
      </w:r>
      <w:r>
        <w:rPr>
          <w:rFonts w:ascii="Times New Roman" w:hAnsi="Times New Roman" w:cs="Times New Roman"/>
          <w:sz w:val="28"/>
          <w:szCs w:val="28"/>
        </w:rPr>
        <w:t>ю</w:t>
      </w:r>
      <w:r w:rsidRPr="00D00A71">
        <w:rPr>
          <w:rFonts w:ascii="Times New Roman" w:hAnsi="Times New Roman" w:cs="Times New Roman"/>
          <w:sz w:val="28"/>
          <w:szCs w:val="28"/>
        </w:rPr>
        <w:t xml:space="preserve"> субстрата</w:t>
      </w:r>
      <w:r>
        <w:rPr>
          <w:rFonts w:ascii="Times New Roman" w:hAnsi="Times New Roman" w:cs="Times New Roman"/>
          <w:sz w:val="28"/>
          <w:szCs w:val="28"/>
        </w:rPr>
        <w:t xml:space="preserve">, что приводит к плохой стандартизации протокола проведения ГТ </w:t>
      </w:r>
      <w:r w:rsidRPr="00E32327">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ADDIN ZOTERO_ITEM CSL_CITATION {"citationID":"U0FYepvJ","properties":{"formattedCitation":"(12)","plainCitation":"(12)","noteIndex":0},"citationItems":[{"id":107,"uris":["http://zotero.org/users/local/yCd0M2za/items/DAGGM4QH"],"itemData":{"id":107,"type":"article-journal","container-title":"Russian Journal for Personalized Medicine","DOI":"10.18705/2782-3806-2022-2-3-119-128","ISSN":"2782-3814, 2782-3806","issue":"3","journalAbbreviation":"jour","page":"119-128","source":"DOI.org (Crossref)","title":"THROMBIN GENERATION TEST AS AN INTEGRAL ANALYSIS OF THE HEMOSTASIS SYSTEM: TECHNICAL CAPABILITIES AND APPLICATION IN LABORATORY PRACTICE","title-short":"THROMBIN GENERATION TEST AS AN INTEGRAL ANALYSIS OF THE HEMOSTASIS SYSTEM","volume":"2","author":[{"family":"Melnichnikova","given":"O. S."},{"family":"Zhilenkova","given":"Y. I."},{"family":"Zolotova","given":"E. A."},{"family":"Pishchulov","given":"K. A."},{"family":"Sirotkina","given":"O. V."},{"family":"Simakova","given":"M. A."},{"family":"Vavilova","given":"T. V."}],"issued":{"date-parts":[["2022",7,13]]}}}],"schema":"https://github.com/citation-style-language/schema/raw/master/csl-citation.json"} </w:instrText>
      </w:r>
      <w:r>
        <w:rPr>
          <w:rFonts w:ascii="Times New Roman" w:hAnsi="Times New Roman" w:cs="Times New Roman"/>
          <w:sz w:val="28"/>
          <w:szCs w:val="28"/>
        </w:rPr>
        <w:fldChar w:fldCharType="separate"/>
      </w:r>
      <w:r w:rsidRPr="008579BC">
        <w:rPr>
          <w:rFonts w:ascii="Times New Roman" w:hAnsi="Times New Roman" w:cs="Times New Roman"/>
          <w:sz w:val="28"/>
        </w:rPr>
        <w:t>12</w:t>
      </w:r>
      <w:r>
        <w:rPr>
          <w:rFonts w:ascii="Times New Roman" w:hAnsi="Times New Roman" w:cs="Times New Roman"/>
          <w:sz w:val="28"/>
          <w:szCs w:val="28"/>
        </w:rPr>
        <w:fldChar w:fldCharType="end"/>
      </w:r>
      <w:r w:rsidRPr="00E32327">
        <w:rPr>
          <w:rFonts w:ascii="Times New Roman" w:hAnsi="Times New Roman" w:cs="Times New Roman"/>
          <w:sz w:val="28"/>
          <w:szCs w:val="28"/>
        </w:rPr>
        <w:t>]</w:t>
      </w:r>
      <w:r w:rsidRPr="00D00A71">
        <w:rPr>
          <w:rFonts w:ascii="Times New Roman" w:hAnsi="Times New Roman" w:cs="Times New Roman"/>
          <w:sz w:val="28"/>
          <w:szCs w:val="28"/>
        </w:rPr>
        <w:t>.</w:t>
      </w:r>
      <w:r>
        <w:rPr>
          <w:rFonts w:ascii="Times New Roman" w:hAnsi="Times New Roman" w:cs="Times New Roman"/>
          <w:sz w:val="28"/>
          <w:szCs w:val="28"/>
        </w:rPr>
        <w:t xml:space="preserve"> </w:t>
      </w:r>
      <w:r w:rsidR="00BD370F">
        <w:rPr>
          <w:rFonts w:ascii="Times New Roman" w:hAnsi="Times New Roman" w:cs="Times New Roman"/>
          <w:sz w:val="28"/>
          <w:szCs w:val="28"/>
        </w:rPr>
        <w:t>О</w:t>
      </w:r>
      <w:r>
        <w:rPr>
          <w:rFonts w:ascii="Times New Roman" w:hAnsi="Times New Roman" w:cs="Times New Roman"/>
          <w:sz w:val="28"/>
          <w:szCs w:val="28"/>
        </w:rPr>
        <w:t>тсутствие аттес</w:t>
      </w:r>
      <w:r w:rsidR="00BD370F">
        <w:rPr>
          <w:rFonts w:ascii="Times New Roman" w:hAnsi="Times New Roman" w:cs="Times New Roman"/>
          <w:sz w:val="28"/>
          <w:szCs w:val="28"/>
        </w:rPr>
        <w:t>тованных контрольных материалов также</w:t>
      </w:r>
      <w:r w:rsidRPr="00D00A71">
        <w:rPr>
          <w:rFonts w:ascii="Times New Roman" w:hAnsi="Times New Roman" w:cs="Times New Roman"/>
          <w:sz w:val="28"/>
          <w:szCs w:val="28"/>
        </w:rPr>
        <w:t xml:space="preserve"> затрудня</w:t>
      </w:r>
      <w:r w:rsidR="00BD370F">
        <w:rPr>
          <w:rFonts w:ascii="Times New Roman" w:hAnsi="Times New Roman" w:cs="Times New Roman"/>
          <w:sz w:val="28"/>
          <w:szCs w:val="28"/>
        </w:rPr>
        <w:t>е</w:t>
      </w:r>
      <w:r w:rsidRPr="00D00A71">
        <w:rPr>
          <w:rFonts w:ascii="Times New Roman" w:hAnsi="Times New Roman" w:cs="Times New Roman"/>
          <w:sz w:val="28"/>
          <w:szCs w:val="28"/>
        </w:rPr>
        <w:t>т сравнение данных</w:t>
      </w:r>
      <w:r>
        <w:rPr>
          <w:rFonts w:ascii="Times New Roman" w:hAnsi="Times New Roman" w:cs="Times New Roman"/>
          <w:sz w:val="28"/>
          <w:szCs w:val="28"/>
        </w:rPr>
        <w:t xml:space="preserve">, полученных в разных лабораториях. </w:t>
      </w:r>
      <w:r w:rsidR="00BD370F">
        <w:rPr>
          <w:rFonts w:ascii="Times New Roman" w:hAnsi="Times New Roman" w:cs="Times New Roman"/>
          <w:sz w:val="28"/>
          <w:szCs w:val="28"/>
        </w:rPr>
        <w:t xml:space="preserve">По данным литературы, вариабельность теста затрагивает и преаналитический этап </w:t>
      </w:r>
      <w:r w:rsidRPr="00D00A71">
        <w:rPr>
          <w:rFonts w:ascii="Times New Roman" w:hAnsi="Times New Roman" w:cs="Times New Roman"/>
          <w:sz w:val="28"/>
          <w:szCs w:val="28"/>
        </w:rPr>
        <w:t xml:space="preserve">(тип иглы и пробирки для </w:t>
      </w:r>
      <w:r>
        <w:rPr>
          <w:rFonts w:ascii="Times New Roman" w:hAnsi="Times New Roman" w:cs="Times New Roman"/>
          <w:sz w:val="28"/>
          <w:szCs w:val="28"/>
        </w:rPr>
        <w:t xml:space="preserve">взятия </w:t>
      </w:r>
      <w:r w:rsidRPr="00D00A71">
        <w:rPr>
          <w:rFonts w:ascii="Times New Roman" w:hAnsi="Times New Roman" w:cs="Times New Roman"/>
          <w:sz w:val="28"/>
          <w:szCs w:val="28"/>
        </w:rPr>
        <w:t xml:space="preserve">крови, </w:t>
      </w:r>
      <w:r w:rsidRPr="00E022EA">
        <w:rPr>
          <w:rFonts w:ascii="Times New Roman" w:hAnsi="Times New Roman" w:cs="Times New Roman"/>
          <w:sz w:val="28"/>
          <w:szCs w:val="28"/>
        </w:rPr>
        <w:t xml:space="preserve">условия хранения, режим центрифугирования, время хранения пробы до центрифугирования), что может повлиять на воспроизводимость </w:t>
      </w:r>
      <w:r w:rsidR="00BD370F">
        <w:rPr>
          <w:rFonts w:ascii="Times New Roman" w:hAnsi="Times New Roman" w:cs="Times New Roman"/>
          <w:sz w:val="28"/>
          <w:szCs w:val="28"/>
        </w:rPr>
        <w:t xml:space="preserve">методики </w:t>
      </w:r>
      <w:r w:rsidRPr="00E022EA">
        <w:rPr>
          <w:rFonts w:ascii="Times New Roman" w:hAnsi="Times New Roman" w:cs="Times New Roman"/>
          <w:sz w:val="28"/>
          <w:szCs w:val="28"/>
        </w:rPr>
        <w:t>и увеличить вариацию результат</w:t>
      </w:r>
      <w:r w:rsidR="00BD370F">
        <w:rPr>
          <w:rFonts w:ascii="Times New Roman" w:hAnsi="Times New Roman" w:cs="Times New Roman"/>
          <w:sz w:val="28"/>
          <w:szCs w:val="28"/>
        </w:rPr>
        <w:t xml:space="preserve">ов </w:t>
      </w:r>
      <w:r w:rsidRPr="00E022EA">
        <w:rPr>
          <w:rFonts w:ascii="Times New Roman" w:hAnsi="Times New Roman" w:cs="Times New Roman"/>
          <w:sz w:val="28"/>
          <w:szCs w:val="28"/>
        </w:rPr>
        <w:t>[</w:t>
      </w:r>
      <w:r w:rsidRPr="00E022EA">
        <w:rPr>
          <w:rFonts w:ascii="Times New Roman" w:hAnsi="Times New Roman" w:cs="Times New Roman"/>
          <w:sz w:val="28"/>
          <w:szCs w:val="28"/>
        </w:rPr>
        <w:fldChar w:fldCharType="begin"/>
      </w:r>
      <w:r>
        <w:rPr>
          <w:rFonts w:ascii="Times New Roman" w:hAnsi="Times New Roman" w:cs="Times New Roman"/>
          <w:sz w:val="28"/>
          <w:szCs w:val="28"/>
        </w:rPr>
        <w:instrText xml:space="preserve"> ADDIN ZOTERO_ITEM CSL_CITATION {"citationID":"2Zdacdx7","properties":{"formattedCitation":"(13)","plainCitation":"(13)","noteIndex":0},"citationItems":[{"id":101,"uris":["http://zotero.org/users/local/yCd0M2za/items/BW2JY7II"],"itemData":{"id":101,"type":"article-journal","container-title":"Journal of Thrombosis and Haemostasis","DOI":"10.1111/jth.14863","ISSN":"1538-7933, 1538-7836","issue":"8","journalAbbreviation":"J Thromb Haemost","language":"en","page":"1893-1899","source":"DOI.org (Crossref)","title":"Towards standardization of thrombin generation assays: Inventory of thrombin generation methods based on results of an International Society of Thrombosis and Haemostasis Scientific Standardization Committee survey","title-short":"Towards standardization of thrombin generation assays","volume":"18","author":[{"family":"Laat‐Kremers","given":"Romy M. W.","non-dropping-particle":"de"},{"family":"Ninivaggi","given":"Marisa"},{"family":"Devreese","given":"Katrien M. J."},{"family":"Laat","given":"Bas","non-dropping-particle":"de"}],"issued":{"date-parts":[["2020",8]]}}}],"schema":"https://github.com/citation-style-language/schema/raw/master/csl-citation.json"} </w:instrText>
      </w:r>
      <w:r w:rsidRPr="00E022EA">
        <w:rPr>
          <w:rFonts w:ascii="Times New Roman" w:hAnsi="Times New Roman" w:cs="Times New Roman"/>
          <w:sz w:val="28"/>
          <w:szCs w:val="28"/>
        </w:rPr>
        <w:fldChar w:fldCharType="separate"/>
      </w:r>
      <w:r w:rsidRPr="008579BC">
        <w:rPr>
          <w:rFonts w:ascii="Times New Roman" w:hAnsi="Times New Roman" w:cs="Times New Roman"/>
          <w:sz w:val="28"/>
        </w:rPr>
        <w:t>13</w:t>
      </w:r>
      <w:r w:rsidRPr="00E022EA">
        <w:rPr>
          <w:rFonts w:ascii="Times New Roman" w:hAnsi="Times New Roman" w:cs="Times New Roman"/>
          <w:sz w:val="28"/>
          <w:szCs w:val="28"/>
        </w:rPr>
        <w:fldChar w:fldCharType="end"/>
      </w:r>
      <w:r w:rsidRPr="00E022EA">
        <w:rPr>
          <w:rFonts w:ascii="Times New Roman" w:hAnsi="Times New Roman" w:cs="Times New Roman"/>
          <w:sz w:val="28"/>
          <w:szCs w:val="28"/>
        </w:rPr>
        <w:t>].</w:t>
      </w:r>
    </w:p>
    <w:p w14:paraId="12471718" w14:textId="477EDF2A" w:rsidR="00E82E69" w:rsidRDefault="00EF2837" w:rsidP="00610EC9">
      <w:pPr>
        <w:spacing w:line="480" w:lineRule="auto"/>
        <w:ind w:firstLine="708"/>
        <w:contextualSpacing/>
        <w:jc w:val="both"/>
        <w:rPr>
          <w:rFonts w:ascii="Times New Roman" w:hAnsi="Times New Roman" w:cs="Times New Roman"/>
          <w:sz w:val="28"/>
          <w:szCs w:val="28"/>
        </w:rPr>
      </w:pPr>
      <w:r w:rsidRPr="00E022EA">
        <w:rPr>
          <w:rFonts w:ascii="Times New Roman" w:hAnsi="Times New Roman" w:cs="Times New Roman"/>
          <w:sz w:val="28"/>
          <w:szCs w:val="28"/>
        </w:rPr>
        <w:t xml:space="preserve">В настоящем исследовании </w:t>
      </w:r>
      <w:r>
        <w:rPr>
          <w:rFonts w:ascii="Times New Roman" w:hAnsi="Times New Roman" w:cs="Times New Roman"/>
          <w:sz w:val="28"/>
          <w:szCs w:val="28"/>
          <w:lang w:val="en-US"/>
        </w:rPr>
        <w:t>CVG</w:t>
      </w:r>
      <w:r w:rsidRPr="00E022EA">
        <w:rPr>
          <w:rFonts w:ascii="Times New Roman" w:hAnsi="Times New Roman" w:cs="Times New Roman"/>
          <w:sz w:val="28"/>
          <w:szCs w:val="28"/>
        </w:rPr>
        <w:t xml:space="preserve"> </w:t>
      </w:r>
      <w:r w:rsidR="00487ED8">
        <w:rPr>
          <w:rFonts w:ascii="Times New Roman" w:hAnsi="Times New Roman" w:cs="Times New Roman"/>
          <w:sz w:val="28"/>
          <w:szCs w:val="28"/>
        </w:rPr>
        <w:t xml:space="preserve">в Технологии 1 </w:t>
      </w:r>
      <w:r w:rsidRPr="00E022EA">
        <w:rPr>
          <w:rFonts w:ascii="Times New Roman" w:hAnsi="Times New Roman" w:cs="Times New Roman"/>
          <w:sz w:val="28"/>
          <w:szCs w:val="28"/>
        </w:rPr>
        <w:t>варьировал от 14 до 32%,</w:t>
      </w:r>
      <w:r w:rsidR="00BD370F">
        <w:rPr>
          <w:rFonts w:ascii="Times New Roman" w:hAnsi="Times New Roman" w:cs="Times New Roman"/>
          <w:sz w:val="28"/>
          <w:szCs w:val="28"/>
        </w:rPr>
        <w:t xml:space="preserve"> а</w:t>
      </w:r>
      <w:r w:rsidRPr="00E022EA">
        <w:rPr>
          <w:rFonts w:ascii="Times New Roman" w:hAnsi="Times New Roman" w:cs="Times New Roman"/>
          <w:sz w:val="28"/>
          <w:szCs w:val="28"/>
        </w:rPr>
        <w:t xml:space="preserve"> </w:t>
      </w:r>
      <w:r w:rsidR="00877B21">
        <w:rPr>
          <w:rFonts w:ascii="Times New Roman" w:hAnsi="Times New Roman" w:cs="Times New Roman"/>
          <w:sz w:val="28"/>
          <w:szCs w:val="28"/>
        </w:rPr>
        <w:t>в Технологии 2</w:t>
      </w:r>
      <w:r w:rsidRPr="00E022EA">
        <w:rPr>
          <w:rFonts w:ascii="Times New Roman" w:hAnsi="Times New Roman" w:cs="Times New Roman"/>
          <w:sz w:val="28"/>
          <w:szCs w:val="28"/>
        </w:rPr>
        <w:t xml:space="preserve"> от 7 до 36%. </w:t>
      </w:r>
      <w:r w:rsidR="00BD370F">
        <w:rPr>
          <w:rFonts w:ascii="Times New Roman" w:hAnsi="Times New Roman" w:cs="Times New Roman"/>
          <w:sz w:val="28"/>
          <w:szCs w:val="28"/>
        </w:rPr>
        <w:t xml:space="preserve">Самый высокий коэффициент вариации наблюдался для показателя </w:t>
      </w:r>
      <w:r w:rsidR="00BD370F">
        <w:rPr>
          <w:rFonts w:ascii="Times New Roman" w:hAnsi="Times New Roman" w:cs="Times New Roman"/>
          <w:sz w:val="28"/>
          <w:szCs w:val="28"/>
          <w:lang w:val="en-US"/>
        </w:rPr>
        <w:t>VI</w:t>
      </w:r>
      <w:r w:rsidR="00BD370F" w:rsidRPr="00BD370F">
        <w:rPr>
          <w:rFonts w:ascii="Times New Roman" w:hAnsi="Times New Roman" w:cs="Times New Roman"/>
          <w:sz w:val="28"/>
          <w:szCs w:val="28"/>
        </w:rPr>
        <w:t xml:space="preserve"> </w:t>
      </w:r>
      <w:r w:rsidR="00BD370F">
        <w:rPr>
          <w:rFonts w:ascii="Times New Roman" w:hAnsi="Times New Roman" w:cs="Times New Roman"/>
          <w:sz w:val="28"/>
          <w:szCs w:val="28"/>
        </w:rPr>
        <w:t xml:space="preserve">в обеих технологиях. </w:t>
      </w:r>
      <w:r w:rsidRPr="00E022EA">
        <w:rPr>
          <w:rFonts w:ascii="Times New Roman" w:hAnsi="Times New Roman" w:cs="Times New Roman"/>
          <w:sz w:val="28"/>
          <w:szCs w:val="28"/>
        </w:rPr>
        <w:t xml:space="preserve">Аналогичные результаты были получены и в других исследованиях. </w:t>
      </w:r>
      <w:r w:rsidR="0073204E" w:rsidRPr="0073204E">
        <w:rPr>
          <w:rFonts w:ascii="Times New Roman" w:hAnsi="Times New Roman" w:cs="Times New Roman"/>
          <w:sz w:val="28"/>
          <w:szCs w:val="28"/>
        </w:rPr>
        <w:t>Высокий коэффициент вариации (&lt;15%) был показан в 2003 г</w:t>
      </w:r>
      <w:r w:rsidR="0073204E">
        <w:rPr>
          <w:rFonts w:ascii="Times New Roman" w:hAnsi="Times New Roman" w:cs="Times New Roman"/>
          <w:sz w:val="28"/>
          <w:szCs w:val="28"/>
        </w:rPr>
        <w:t>.</w:t>
      </w:r>
      <w:r w:rsidR="0073204E" w:rsidRPr="0073204E">
        <w:rPr>
          <w:rFonts w:ascii="Times New Roman" w:hAnsi="Times New Roman" w:cs="Times New Roman"/>
          <w:sz w:val="28"/>
          <w:szCs w:val="28"/>
        </w:rPr>
        <w:t xml:space="preserve"> Н. </w:t>
      </w:r>
      <w:r w:rsidR="0073204E" w:rsidRPr="0073204E">
        <w:rPr>
          <w:rFonts w:ascii="Times New Roman" w:hAnsi="Times New Roman" w:cs="Times New Roman"/>
          <w:sz w:val="28"/>
          <w:szCs w:val="28"/>
          <w:lang w:val="en-US"/>
        </w:rPr>
        <w:t>Hemker</w:t>
      </w:r>
      <w:r w:rsidR="0073204E" w:rsidRPr="0073204E">
        <w:rPr>
          <w:rFonts w:ascii="Times New Roman" w:hAnsi="Times New Roman" w:cs="Times New Roman"/>
          <w:sz w:val="28"/>
          <w:szCs w:val="28"/>
        </w:rPr>
        <w:t xml:space="preserve"> п</w:t>
      </w:r>
      <w:r w:rsidR="0073204E">
        <w:rPr>
          <w:rFonts w:ascii="Times New Roman" w:hAnsi="Times New Roman" w:cs="Times New Roman"/>
          <w:sz w:val="28"/>
          <w:szCs w:val="28"/>
        </w:rPr>
        <w:t xml:space="preserve">ри модификации метода, что подтверждается многочисленными исследованиями. Так, </w:t>
      </w:r>
      <w:r w:rsidRPr="00E022EA">
        <w:rPr>
          <w:rFonts w:ascii="Times New Roman" w:hAnsi="Times New Roman" w:cs="Times New Roman"/>
          <w:sz w:val="28"/>
          <w:szCs w:val="28"/>
        </w:rPr>
        <w:t xml:space="preserve">Rudež </w:t>
      </w:r>
      <w:r w:rsidR="00BD370F">
        <w:rPr>
          <w:rFonts w:ascii="Times New Roman" w:hAnsi="Times New Roman" w:cs="Times New Roman"/>
          <w:sz w:val="28"/>
          <w:szCs w:val="28"/>
          <w:lang w:val="en-US"/>
        </w:rPr>
        <w:t>G</w:t>
      </w:r>
      <w:r w:rsidR="00BD370F" w:rsidRPr="00BD370F">
        <w:rPr>
          <w:rFonts w:ascii="Times New Roman" w:hAnsi="Times New Roman" w:cs="Times New Roman"/>
          <w:sz w:val="28"/>
          <w:szCs w:val="28"/>
        </w:rPr>
        <w:t xml:space="preserve">. </w:t>
      </w:r>
      <w:r w:rsidRPr="00E022EA">
        <w:rPr>
          <w:rFonts w:ascii="Times New Roman" w:hAnsi="Times New Roman" w:cs="Times New Roman"/>
          <w:sz w:val="28"/>
          <w:szCs w:val="28"/>
        </w:rPr>
        <w:t xml:space="preserve">с коллегами показали, что </w:t>
      </w:r>
      <w:r>
        <w:rPr>
          <w:rFonts w:ascii="Times New Roman" w:hAnsi="Times New Roman" w:cs="Times New Roman"/>
          <w:sz w:val="28"/>
          <w:szCs w:val="28"/>
        </w:rPr>
        <w:t>CVG</w:t>
      </w:r>
      <w:r w:rsidRPr="00E022EA">
        <w:rPr>
          <w:rFonts w:ascii="Times New Roman" w:hAnsi="Times New Roman" w:cs="Times New Roman"/>
          <w:sz w:val="28"/>
          <w:szCs w:val="28"/>
        </w:rPr>
        <w:t xml:space="preserve"> варьирует от 24 до </w:t>
      </w:r>
      <w:r>
        <w:rPr>
          <w:rFonts w:ascii="Times New Roman" w:hAnsi="Times New Roman" w:cs="Times New Roman"/>
          <w:sz w:val="28"/>
          <w:szCs w:val="28"/>
        </w:rPr>
        <w:t>34%</w:t>
      </w:r>
      <w:r w:rsidRPr="00E022EA">
        <w:rPr>
          <w:rFonts w:ascii="Times New Roman" w:hAnsi="Times New Roman" w:cs="Times New Roman"/>
          <w:sz w:val="28"/>
          <w:szCs w:val="28"/>
        </w:rPr>
        <w:t xml:space="preserve"> </w:t>
      </w:r>
      <w:r w:rsidRPr="00310599">
        <w:rPr>
          <w:rFonts w:ascii="Times New Roman" w:hAnsi="Times New Roman" w:cs="Times New Roman"/>
          <w:sz w:val="28"/>
          <w:szCs w:val="28"/>
        </w:rPr>
        <w:t>[</w:t>
      </w:r>
      <w:r w:rsidRPr="00E022EA">
        <w:rPr>
          <w:rFonts w:ascii="Times New Roman" w:hAnsi="Times New Roman" w:cs="Times New Roman"/>
          <w:sz w:val="28"/>
          <w:szCs w:val="28"/>
        </w:rPr>
        <w:fldChar w:fldCharType="begin"/>
      </w:r>
      <w:r>
        <w:rPr>
          <w:rFonts w:ascii="Times New Roman" w:hAnsi="Times New Roman" w:cs="Times New Roman"/>
          <w:sz w:val="28"/>
          <w:szCs w:val="28"/>
        </w:rPr>
        <w:instrText xml:space="preserve"> ADDIN ZOTERO_ITEM CSL_CITATION {"citationID":"VELiSEeB","properties":{"formattedCitation":"(14)","plainCitation":"(14)","noteIndex":0},"citationItems":[{"id":120,"uris":["http://zotero.org/users/local/yCd0M2za/items/VEZYLB5D"],"itemData":{"id":120,"type":"article-journal","DOI":"https://doi.org/10.1111/j.1538-7836.2009.03488.x33.","issue":"8","journalAbbreviation":"J Thromb Haemost","page":"1247- 1255","title":"Biological variation in inflammatory and hemostatic markers","volume":"7","author":[{"family":"Rudez G, Meijer P, Spronk HM, et al.","given":""}],"issued":{"date-parts":[["2009"]]}}}],"schema":"https://github.com/citation-style-language/schema/raw/master/csl-citation.json"} </w:instrText>
      </w:r>
      <w:r w:rsidRPr="00E022EA">
        <w:rPr>
          <w:rFonts w:ascii="Times New Roman" w:hAnsi="Times New Roman" w:cs="Times New Roman"/>
          <w:sz w:val="28"/>
          <w:szCs w:val="28"/>
        </w:rPr>
        <w:fldChar w:fldCharType="separate"/>
      </w:r>
      <w:r w:rsidR="003C5E0A">
        <w:rPr>
          <w:rFonts w:ascii="Times New Roman" w:hAnsi="Times New Roman" w:cs="Times New Roman"/>
          <w:sz w:val="28"/>
        </w:rPr>
        <w:t>1</w:t>
      </w:r>
      <w:r w:rsidR="00E82E69">
        <w:rPr>
          <w:rFonts w:ascii="Times New Roman" w:hAnsi="Times New Roman" w:cs="Times New Roman"/>
          <w:sz w:val="28"/>
        </w:rPr>
        <w:t>4</w:t>
      </w:r>
      <w:r w:rsidRPr="00310599">
        <w:rPr>
          <w:rFonts w:ascii="Times New Roman" w:hAnsi="Times New Roman" w:cs="Times New Roman"/>
          <w:sz w:val="28"/>
        </w:rPr>
        <w:t>]</w:t>
      </w:r>
      <w:r w:rsidRPr="00E022EA">
        <w:rPr>
          <w:rFonts w:ascii="Times New Roman" w:hAnsi="Times New Roman" w:cs="Times New Roman"/>
          <w:sz w:val="28"/>
          <w:szCs w:val="28"/>
        </w:rPr>
        <w:fldChar w:fldCharType="end"/>
      </w:r>
      <w:r w:rsidRPr="00E022EA">
        <w:rPr>
          <w:rFonts w:ascii="Times New Roman" w:hAnsi="Times New Roman" w:cs="Times New Roman"/>
          <w:sz w:val="28"/>
          <w:szCs w:val="28"/>
        </w:rPr>
        <w:t xml:space="preserve">. </w:t>
      </w:r>
      <w:r w:rsidR="00BD370F" w:rsidRPr="008579BC">
        <w:rPr>
          <w:rFonts w:ascii="Times New Roman" w:hAnsi="Times New Roman" w:cs="Times New Roman"/>
          <w:sz w:val="28"/>
          <w:lang w:val="en-US"/>
        </w:rPr>
        <w:t>Mairesse</w:t>
      </w:r>
      <w:r w:rsidR="00BD370F" w:rsidRPr="00BD370F">
        <w:rPr>
          <w:rFonts w:ascii="Times New Roman" w:hAnsi="Times New Roman" w:cs="Times New Roman"/>
          <w:sz w:val="28"/>
        </w:rPr>
        <w:t xml:space="preserve"> </w:t>
      </w:r>
      <w:r w:rsidR="00BD370F" w:rsidRPr="008579BC">
        <w:rPr>
          <w:rFonts w:ascii="Times New Roman" w:hAnsi="Times New Roman" w:cs="Times New Roman"/>
          <w:sz w:val="28"/>
          <w:lang w:val="en-US"/>
        </w:rPr>
        <w:t>A</w:t>
      </w:r>
      <w:r w:rsidR="00BD370F" w:rsidRPr="00BD370F">
        <w:rPr>
          <w:rFonts w:ascii="Times New Roman" w:hAnsi="Times New Roman" w:cs="Times New Roman"/>
          <w:sz w:val="28"/>
        </w:rPr>
        <w:t xml:space="preserve">. </w:t>
      </w:r>
      <w:r w:rsidR="00BD370F">
        <w:rPr>
          <w:rFonts w:ascii="Times New Roman" w:hAnsi="Times New Roman" w:cs="Times New Roman"/>
          <w:sz w:val="28"/>
        </w:rPr>
        <w:t>и соавторы в</w:t>
      </w:r>
      <w:r w:rsidRPr="00E022EA">
        <w:rPr>
          <w:rFonts w:ascii="Times New Roman" w:hAnsi="Times New Roman" w:cs="Times New Roman"/>
          <w:sz w:val="28"/>
          <w:szCs w:val="28"/>
        </w:rPr>
        <w:t xml:space="preserve"> недавнем исследовании биологической вариации </w:t>
      </w:r>
      <w:r w:rsidR="00BD370F">
        <w:rPr>
          <w:rFonts w:ascii="Times New Roman" w:hAnsi="Times New Roman" w:cs="Times New Roman"/>
          <w:sz w:val="28"/>
          <w:szCs w:val="28"/>
        </w:rPr>
        <w:t xml:space="preserve">параметров </w:t>
      </w:r>
      <w:r w:rsidRPr="00E022EA">
        <w:rPr>
          <w:rFonts w:ascii="Times New Roman" w:hAnsi="Times New Roman" w:cs="Times New Roman"/>
          <w:sz w:val="28"/>
          <w:szCs w:val="28"/>
        </w:rPr>
        <w:t xml:space="preserve">ТГТ </w:t>
      </w:r>
      <w:r w:rsidR="00487ED8">
        <w:rPr>
          <w:rFonts w:ascii="Times New Roman" w:hAnsi="Times New Roman" w:cs="Times New Roman"/>
          <w:sz w:val="28"/>
          <w:szCs w:val="28"/>
        </w:rPr>
        <w:t>так</w:t>
      </w:r>
      <w:r w:rsidR="0073204E">
        <w:rPr>
          <w:rFonts w:ascii="Times New Roman" w:hAnsi="Times New Roman" w:cs="Times New Roman"/>
          <w:sz w:val="28"/>
          <w:szCs w:val="28"/>
        </w:rPr>
        <w:t xml:space="preserve">же </w:t>
      </w:r>
      <w:r w:rsidR="00BD370F">
        <w:rPr>
          <w:rFonts w:ascii="Times New Roman" w:hAnsi="Times New Roman" w:cs="Times New Roman"/>
          <w:sz w:val="28"/>
          <w:szCs w:val="28"/>
        </w:rPr>
        <w:t>получили сходные высокие значения</w:t>
      </w:r>
      <w:r w:rsidRPr="00E022EA">
        <w:rPr>
          <w:rFonts w:ascii="Times New Roman" w:hAnsi="Times New Roman" w:cs="Times New Roman"/>
          <w:sz w:val="28"/>
          <w:szCs w:val="28"/>
        </w:rPr>
        <w:t xml:space="preserve"> </w:t>
      </w:r>
      <w:r>
        <w:rPr>
          <w:rFonts w:ascii="Times New Roman" w:hAnsi="Times New Roman" w:cs="Times New Roman"/>
          <w:sz w:val="28"/>
          <w:szCs w:val="28"/>
        </w:rPr>
        <w:t>CVG</w:t>
      </w:r>
      <w:r w:rsidR="00BD370F">
        <w:rPr>
          <w:rFonts w:ascii="Times New Roman" w:hAnsi="Times New Roman" w:cs="Times New Roman"/>
          <w:sz w:val="28"/>
          <w:szCs w:val="28"/>
        </w:rPr>
        <w:t xml:space="preserve"> -</w:t>
      </w:r>
      <w:r w:rsidRPr="00E022EA">
        <w:rPr>
          <w:rFonts w:ascii="Times New Roman" w:hAnsi="Times New Roman" w:cs="Times New Roman"/>
          <w:sz w:val="28"/>
          <w:szCs w:val="28"/>
        </w:rPr>
        <w:t xml:space="preserve"> от 10,4% до 28,</w:t>
      </w:r>
      <w:r>
        <w:rPr>
          <w:rFonts w:ascii="Times New Roman" w:hAnsi="Times New Roman" w:cs="Times New Roman"/>
          <w:sz w:val="28"/>
          <w:szCs w:val="28"/>
        </w:rPr>
        <w:t xml:space="preserve">4% </w:t>
      </w:r>
      <w:r w:rsidRPr="0073204E">
        <w:rPr>
          <w:rFonts w:ascii="Times New Roman" w:hAnsi="Times New Roman" w:cs="Times New Roman"/>
          <w:sz w:val="28"/>
          <w:szCs w:val="28"/>
        </w:rPr>
        <w:fldChar w:fldCharType="begin"/>
      </w:r>
      <w:r w:rsidRPr="0073204E">
        <w:rPr>
          <w:rFonts w:ascii="Times New Roman" w:hAnsi="Times New Roman" w:cs="Times New Roman"/>
          <w:sz w:val="28"/>
          <w:szCs w:val="28"/>
        </w:rPr>
        <w:instrText xml:space="preserve"> ADDIN ZOTERO_ITEM CSL_CITATION {"citationID":"bxd2gpli","properties":{"formattedCitation":"(15)","plainCitation":"(15)","noteIndex":0},"citationItems":[{"id":111,"uris":["http://zotero.org/users/local/yCd0M2za/items/39X2Y3YF"],"itemData":{"id":111,"type":"article-journal","container-title":"International Journal of Laboratory Hematology","DOI":"10.1111/ijlh.13388","ISSN":"1751-5521, 1751-553X","issue":"3","journalAbbreviation":"Int J Lab Hem","language":"en","page":"450-457","source":"DOI.org (Crossref)","title":"Biological variation data and analytical specification goal estimates of the thrombin generation assay with and without thrombomodulin in healthy individuals","volume":"43","author":[{"family":"Mairesse","given":"Antoine"},{"family":"Bayart","given":"Jean‐Louis"},{"family":"Desmet","given":"Sandrine"},{"family":"Lopes Dos Santos","given":"Helder"},{"family":"Saussoy","given":"Pascale"},{"family":"Defour","given":"Jean‐Philippe"},{"family":"Eeckhoudt","given":"Stéphane"},{"family":"Dievoet","given":"Marie‐Astrid"}],"issued":{"date-parts":[["2021",6]]}}}],"schema":"https://github.com/citation-style-language/schema/raw/master/csl-citation.json"} </w:instrText>
      </w:r>
      <w:r w:rsidRPr="0073204E">
        <w:rPr>
          <w:rFonts w:ascii="Times New Roman" w:hAnsi="Times New Roman" w:cs="Times New Roman"/>
          <w:sz w:val="28"/>
          <w:szCs w:val="28"/>
        </w:rPr>
        <w:fldChar w:fldCharType="separate"/>
      </w:r>
      <w:r w:rsidR="003C5E0A">
        <w:rPr>
          <w:rFonts w:ascii="Times New Roman" w:hAnsi="Times New Roman" w:cs="Times New Roman"/>
          <w:sz w:val="28"/>
          <w:szCs w:val="28"/>
        </w:rPr>
        <w:t>[1</w:t>
      </w:r>
      <w:r w:rsidR="00E82E69">
        <w:rPr>
          <w:rFonts w:ascii="Times New Roman" w:hAnsi="Times New Roman" w:cs="Times New Roman"/>
          <w:sz w:val="28"/>
          <w:szCs w:val="28"/>
        </w:rPr>
        <w:t>5</w:t>
      </w:r>
      <w:r w:rsidRPr="0073204E">
        <w:rPr>
          <w:rFonts w:ascii="Times New Roman" w:hAnsi="Times New Roman" w:cs="Times New Roman"/>
          <w:sz w:val="28"/>
          <w:szCs w:val="28"/>
        </w:rPr>
        <w:t>]</w:t>
      </w:r>
      <w:r w:rsidRPr="0073204E">
        <w:rPr>
          <w:rFonts w:ascii="Times New Roman" w:hAnsi="Times New Roman" w:cs="Times New Roman"/>
          <w:sz w:val="28"/>
          <w:szCs w:val="28"/>
        </w:rPr>
        <w:fldChar w:fldCharType="end"/>
      </w:r>
      <w:r w:rsidR="00BD370F" w:rsidRPr="0073204E">
        <w:rPr>
          <w:rFonts w:ascii="Times New Roman" w:hAnsi="Times New Roman" w:cs="Times New Roman"/>
          <w:sz w:val="28"/>
          <w:szCs w:val="28"/>
        </w:rPr>
        <w:t xml:space="preserve">. </w:t>
      </w:r>
      <w:r w:rsidR="0073204E">
        <w:rPr>
          <w:rFonts w:ascii="Times New Roman" w:hAnsi="Times New Roman" w:cs="Times New Roman"/>
          <w:sz w:val="28"/>
          <w:szCs w:val="28"/>
        </w:rPr>
        <w:t xml:space="preserve">В нашем исследовании увеличение коэффициента вариации </w:t>
      </w:r>
      <w:r w:rsidRPr="00E022EA">
        <w:rPr>
          <w:rFonts w:ascii="Times New Roman" w:hAnsi="Times New Roman" w:cs="Times New Roman"/>
          <w:sz w:val="28"/>
          <w:szCs w:val="28"/>
        </w:rPr>
        <w:t>может быть обусловлен</w:t>
      </w:r>
      <w:r w:rsidR="0073204E">
        <w:rPr>
          <w:rFonts w:ascii="Times New Roman" w:hAnsi="Times New Roman" w:cs="Times New Roman"/>
          <w:sz w:val="28"/>
          <w:szCs w:val="28"/>
        </w:rPr>
        <w:t>о</w:t>
      </w:r>
      <w:r w:rsidRPr="00E022EA">
        <w:rPr>
          <w:rFonts w:ascii="Times New Roman" w:hAnsi="Times New Roman" w:cs="Times New Roman"/>
          <w:sz w:val="28"/>
          <w:szCs w:val="28"/>
        </w:rPr>
        <w:t xml:space="preserve"> </w:t>
      </w:r>
      <w:r w:rsidR="0073204E">
        <w:rPr>
          <w:rFonts w:ascii="Times New Roman" w:hAnsi="Times New Roman" w:cs="Times New Roman"/>
          <w:sz w:val="28"/>
          <w:szCs w:val="28"/>
        </w:rPr>
        <w:t>возрастной группой доноров (</w:t>
      </w:r>
      <w:r w:rsidRPr="00E022EA">
        <w:rPr>
          <w:rFonts w:ascii="Times New Roman" w:hAnsi="Times New Roman" w:cs="Times New Roman"/>
          <w:sz w:val="28"/>
          <w:szCs w:val="28"/>
        </w:rPr>
        <w:t>старше 45 лет</w:t>
      </w:r>
      <w:r w:rsidR="0073204E">
        <w:rPr>
          <w:rFonts w:ascii="Times New Roman" w:hAnsi="Times New Roman" w:cs="Times New Roman"/>
          <w:sz w:val="28"/>
          <w:szCs w:val="28"/>
        </w:rPr>
        <w:t>). Контрольная группа была выбрана в соответствии с используемыми</w:t>
      </w:r>
      <w:r w:rsidRPr="00E022EA">
        <w:rPr>
          <w:rFonts w:ascii="Times New Roman" w:hAnsi="Times New Roman" w:cs="Times New Roman"/>
          <w:sz w:val="28"/>
          <w:szCs w:val="28"/>
        </w:rPr>
        <w:t xml:space="preserve"> реактив</w:t>
      </w:r>
      <w:r w:rsidR="0073204E">
        <w:rPr>
          <w:rFonts w:ascii="Times New Roman" w:hAnsi="Times New Roman" w:cs="Times New Roman"/>
          <w:sz w:val="28"/>
          <w:szCs w:val="28"/>
        </w:rPr>
        <w:t>ами</w:t>
      </w:r>
      <w:r w:rsidRPr="00E022EA">
        <w:rPr>
          <w:rFonts w:ascii="Times New Roman" w:hAnsi="Times New Roman" w:cs="Times New Roman"/>
          <w:sz w:val="28"/>
          <w:szCs w:val="28"/>
        </w:rPr>
        <w:t xml:space="preserve"> </w:t>
      </w:r>
      <w:r w:rsidRPr="00E022EA">
        <w:rPr>
          <w:rFonts w:ascii="Times New Roman" w:hAnsi="Times New Roman" w:cs="Times New Roman"/>
          <w:sz w:val="28"/>
          <w:szCs w:val="28"/>
          <w:lang w:val="en-US"/>
        </w:rPr>
        <w:t>RC</w:t>
      </w:r>
      <w:r w:rsidRPr="00E022EA">
        <w:rPr>
          <w:rFonts w:ascii="Times New Roman" w:hAnsi="Times New Roman" w:cs="Times New Roman"/>
          <w:sz w:val="28"/>
          <w:szCs w:val="28"/>
        </w:rPr>
        <w:t xml:space="preserve"> </w:t>
      </w:r>
      <w:r w:rsidRPr="00E022EA">
        <w:rPr>
          <w:rFonts w:ascii="Times New Roman" w:hAnsi="Times New Roman" w:cs="Times New Roman"/>
          <w:sz w:val="28"/>
          <w:szCs w:val="28"/>
          <w:lang w:val="en-US"/>
        </w:rPr>
        <w:t>Low</w:t>
      </w:r>
      <w:r w:rsidRPr="00E022EA">
        <w:rPr>
          <w:rFonts w:ascii="Times New Roman" w:hAnsi="Times New Roman" w:cs="Times New Roman"/>
          <w:sz w:val="28"/>
          <w:szCs w:val="28"/>
        </w:rPr>
        <w:t xml:space="preserve"> и </w:t>
      </w:r>
      <w:r w:rsidRPr="00E022EA">
        <w:rPr>
          <w:rFonts w:ascii="Times New Roman" w:hAnsi="Times New Roman" w:cs="Times New Roman"/>
          <w:sz w:val="28"/>
          <w:szCs w:val="28"/>
          <w:lang w:val="en-US"/>
        </w:rPr>
        <w:t>PPP</w:t>
      </w:r>
      <w:r w:rsidR="0073204E">
        <w:rPr>
          <w:rFonts w:ascii="Times New Roman" w:hAnsi="Times New Roman" w:cs="Times New Roman"/>
          <w:sz w:val="28"/>
          <w:szCs w:val="28"/>
        </w:rPr>
        <w:t xml:space="preserve">-реагент, </w:t>
      </w:r>
      <w:r w:rsidRPr="00E022EA">
        <w:rPr>
          <w:rFonts w:ascii="Times New Roman" w:hAnsi="Times New Roman" w:cs="Times New Roman"/>
          <w:sz w:val="28"/>
          <w:szCs w:val="28"/>
        </w:rPr>
        <w:lastRenderedPageBreak/>
        <w:t>рассчитан</w:t>
      </w:r>
      <w:r w:rsidR="0073204E">
        <w:rPr>
          <w:rFonts w:ascii="Times New Roman" w:hAnsi="Times New Roman" w:cs="Times New Roman"/>
          <w:sz w:val="28"/>
          <w:szCs w:val="28"/>
        </w:rPr>
        <w:t>н</w:t>
      </w:r>
      <w:r w:rsidRPr="00E022EA">
        <w:rPr>
          <w:rFonts w:ascii="Times New Roman" w:hAnsi="Times New Roman" w:cs="Times New Roman"/>
          <w:sz w:val="28"/>
          <w:szCs w:val="28"/>
        </w:rPr>
        <w:t>ы</w:t>
      </w:r>
      <w:r w:rsidR="0073204E">
        <w:rPr>
          <w:rFonts w:ascii="Times New Roman" w:hAnsi="Times New Roman" w:cs="Times New Roman"/>
          <w:sz w:val="28"/>
          <w:szCs w:val="28"/>
        </w:rPr>
        <w:t>ми</w:t>
      </w:r>
      <w:r w:rsidRPr="00E022EA">
        <w:rPr>
          <w:rFonts w:ascii="Times New Roman" w:hAnsi="Times New Roman" w:cs="Times New Roman"/>
          <w:sz w:val="28"/>
          <w:szCs w:val="28"/>
        </w:rPr>
        <w:t xml:space="preserve"> на </w:t>
      </w:r>
      <w:r w:rsidRPr="00E022EA">
        <w:rPr>
          <w:rFonts w:ascii="Times New Roman" w:eastAsia="Times New Roman" w:hAnsi="Times New Roman" w:cs="Times New Roman"/>
          <w:color w:val="222222"/>
          <w:sz w:val="28"/>
          <w:szCs w:val="28"/>
          <w:lang w:eastAsia="ru-RU"/>
        </w:rPr>
        <w:t xml:space="preserve">определение склонности к тромбообразованию, характерной для старшей возрастной группы. </w:t>
      </w:r>
      <w:r w:rsidRPr="00E022EA">
        <w:rPr>
          <w:rFonts w:ascii="Times New Roman" w:hAnsi="Times New Roman" w:cs="Times New Roman"/>
          <w:sz w:val="28"/>
          <w:szCs w:val="28"/>
        </w:rPr>
        <w:t xml:space="preserve">В работе </w:t>
      </w:r>
      <w:r w:rsidRPr="00E022EA">
        <w:rPr>
          <w:rFonts w:ascii="Times New Roman" w:hAnsi="Times New Roman" w:cs="Times New Roman"/>
          <w:sz w:val="28"/>
          <w:szCs w:val="28"/>
          <w:lang w:val="en-US"/>
        </w:rPr>
        <w:t>Jun</w:t>
      </w:r>
      <w:r w:rsidRPr="00E022EA">
        <w:rPr>
          <w:rFonts w:ascii="Times New Roman" w:hAnsi="Times New Roman" w:cs="Times New Roman"/>
          <w:sz w:val="28"/>
          <w:szCs w:val="28"/>
        </w:rPr>
        <w:t xml:space="preserve"> </w:t>
      </w:r>
      <w:r w:rsidRPr="00E022EA">
        <w:rPr>
          <w:rFonts w:ascii="Times New Roman" w:hAnsi="Times New Roman" w:cs="Times New Roman"/>
          <w:sz w:val="28"/>
          <w:szCs w:val="28"/>
          <w:lang w:val="en-US"/>
        </w:rPr>
        <w:t>W</w:t>
      </w:r>
      <w:r w:rsidRPr="00E022EA">
        <w:rPr>
          <w:rFonts w:ascii="Times New Roman" w:hAnsi="Times New Roman" w:cs="Times New Roman"/>
          <w:sz w:val="28"/>
          <w:szCs w:val="28"/>
        </w:rPr>
        <w:t>. с соавторами показали, что увеличение возра</w:t>
      </w:r>
      <w:r>
        <w:rPr>
          <w:rFonts w:ascii="Times New Roman" w:hAnsi="Times New Roman" w:cs="Times New Roman"/>
          <w:sz w:val="28"/>
          <w:szCs w:val="28"/>
        </w:rPr>
        <w:t xml:space="preserve">ста коррелирует </w:t>
      </w:r>
      <w:r w:rsidR="0073204E">
        <w:rPr>
          <w:rFonts w:ascii="Times New Roman" w:hAnsi="Times New Roman" w:cs="Times New Roman"/>
          <w:sz w:val="28"/>
          <w:szCs w:val="28"/>
        </w:rPr>
        <w:t>с</w:t>
      </w:r>
      <w:r>
        <w:rPr>
          <w:rFonts w:ascii="Times New Roman" w:hAnsi="Times New Roman" w:cs="Times New Roman"/>
          <w:sz w:val="28"/>
          <w:szCs w:val="28"/>
        </w:rPr>
        <w:t xml:space="preserve"> повышением ГТ</w:t>
      </w:r>
      <w:r w:rsidRPr="00E022EA">
        <w:rPr>
          <w:rFonts w:ascii="Times New Roman" w:hAnsi="Times New Roman" w:cs="Times New Roman"/>
          <w:sz w:val="28"/>
          <w:szCs w:val="28"/>
        </w:rPr>
        <w:t xml:space="preserve"> (</w:t>
      </w:r>
      <w:r w:rsidRPr="00E022EA">
        <w:rPr>
          <w:rFonts w:ascii="Times New Roman" w:hAnsi="Times New Roman" w:cs="Times New Roman"/>
          <w:sz w:val="28"/>
          <w:szCs w:val="28"/>
          <w:lang w:val="en-US"/>
        </w:rPr>
        <w:t>LT</w:t>
      </w:r>
      <w:r w:rsidRPr="00E022EA">
        <w:rPr>
          <w:rFonts w:ascii="Times New Roman" w:hAnsi="Times New Roman" w:cs="Times New Roman"/>
          <w:sz w:val="28"/>
          <w:szCs w:val="28"/>
        </w:rPr>
        <w:t xml:space="preserve"> </w:t>
      </w:r>
      <w:r w:rsidRPr="00E022EA">
        <w:rPr>
          <w:rFonts w:ascii="Times New Roman" w:hAnsi="Times New Roman" w:cs="Times New Roman"/>
          <w:sz w:val="28"/>
          <w:szCs w:val="28"/>
          <w:lang w:val="en-US"/>
        </w:rPr>
        <w:t>r</w:t>
      </w:r>
      <w:r w:rsidRPr="00E022EA">
        <w:rPr>
          <w:rFonts w:ascii="Times New Roman" w:hAnsi="Times New Roman" w:cs="Times New Roman"/>
          <w:sz w:val="28"/>
          <w:szCs w:val="28"/>
        </w:rPr>
        <w:t xml:space="preserve">=-0,6583, </w:t>
      </w:r>
      <w:r w:rsidR="0073204E">
        <w:rPr>
          <w:rFonts w:ascii="Times New Roman" w:hAnsi="Times New Roman" w:cs="Times New Roman"/>
          <w:sz w:val="28"/>
          <w:szCs w:val="28"/>
        </w:rPr>
        <w:t>р</w:t>
      </w:r>
      <w:r w:rsidRPr="00E022EA">
        <w:rPr>
          <w:rFonts w:ascii="Times New Roman" w:hAnsi="Times New Roman" w:cs="Times New Roman"/>
          <w:sz w:val="28"/>
          <w:szCs w:val="28"/>
        </w:rPr>
        <w:t>&lt;0,0001;</w:t>
      </w:r>
      <w:r w:rsidRPr="00E022EA">
        <w:rPr>
          <w:rFonts w:ascii="Times New Roman" w:eastAsia="Times New Roman" w:hAnsi="Times New Roman" w:cs="Times New Roman"/>
          <w:sz w:val="28"/>
          <w:szCs w:val="28"/>
          <w:lang w:eastAsia="ru-RU"/>
        </w:rPr>
        <w:t xml:space="preserve"> </w:t>
      </w:r>
      <w:r w:rsidRPr="00E022EA">
        <w:rPr>
          <w:rFonts w:ascii="Times New Roman" w:eastAsia="Times New Roman" w:hAnsi="Times New Roman" w:cs="Times New Roman"/>
          <w:sz w:val="28"/>
          <w:szCs w:val="28"/>
          <w:lang w:val="en-US" w:eastAsia="ru-RU"/>
        </w:rPr>
        <w:t>P</w:t>
      </w:r>
      <w:r w:rsidRPr="00E022EA">
        <w:rPr>
          <w:rFonts w:ascii="Times New Roman" w:hAnsi="Times New Roman" w:cs="Times New Roman"/>
          <w:sz w:val="28"/>
          <w:szCs w:val="28"/>
          <w:lang w:val="en-US"/>
        </w:rPr>
        <w:t>eak</w:t>
      </w:r>
      <w:r w:rsidRPr="00E022EA">
        <w:rPr>
          <w:rFonts w:ascii="Times New Roman" w:hAnsi="Times New Roman" w:cs="Times New Roman"/>
          <w:sz w:val="28"/>
          <w:szCs w:val="28"/>
        </w:rPr>
        <w:t xml:space="preserve"> </w:t>
      </w:r>
      <w:r w:rsidRPr="00E022EA">
        <w:rPr>
          <w:rFonts w:ascii="Times New Roman" w:hAnsi="Times New Roman" w:cs="Times New Roman"/>
          <w:sz w:val="28"/>
          <w:szCs w:val="28"/>
          <w:lang w:val="en-US"/>
        </w:rPr>
        <w:t>thr</w:t>
      </w:r>
      <w:r w:rsidRPr="00E022EA">
        <w:rPr>
          <w:rFonts w:ascii="Times New Roman" w:hAnsi="Times New Roman" w:cs="Times New Roman"/>
          <w:sz w:val="28"/>
          <w:szCs w:val="28"/>
        </w:rPr>
        <w:t xml:space="preserve">. </w:t>
      </w:r>
      <w:r w:rsidRPr="00E022EA">
        <w:rPr>
          <w:rFonts w:ascii="Times New Roman" w:hAnsi="Times New Roman" w:cs="Times New Roman"/>
          <w:sz w:val="28"/>
          <w:szCs w:val="28"/>
          <w:lang w:val="en-US"/>
        </w:rPr>
        <w:t>r</w:t>
      </w:r>
      <w:r w:rsidRPr="00E022EA">
        <w:rPr>
          <w:rFonts w:ascii="Times New Roman" w:hAnsi="Times New Roman" w:cs="Times New Roman"/>
          <w:sz w:val="28"/>
          <w:szCs w:val="28"/>
        </w:rPr>
        <w:t xml:space="preserve">=0,4863, </w:t>
      </w:r>
      <w:r w:rsidR="0073204E">
        <w:rPr>
          <w:rFonts w:ascii="Times New Roman" w:hAnsi="Times New Roman" w:cs="Times New Roman"/>
          <w:sz w:val="28"/>
          <w:szCs w:val="28"/>
        </w:rPr>
        <w:t>р</w:t>
      </w:r>
      <w:r w:rsidRPr="00E022EA">
        <w:rPr>
          <w:rFonts w:ascii="Times New Roman" w:hAnsi="Times New Roman" w:cs="Times New Roman"/>
          <w:sz w:val="28"/>
          <w:szCs w:val="28"/>
        </w:rPr>
        <w:t xml:space="preserve">&lt;0,0001; </w:t>
      </w:r>
      <w:r w:rsidRPr="00E022EA">
        <w:rPr>
          <w:rFonts w:ascii="Times New Roman" w:hAnsi="Times New Roman" w:cs="Times New Roman"/>
          <w:sz w:val="28"/>
          <w:szCs w:val="28"/>
          <w:lang w:val="en-US"/>
        </w:rPr>
        <w:t>ETP</w:t>
      </w:r>
      <w:r w:rsidRPr="00E022EA">
        <w:rPr>
          <w:rFonts w:ascii="Times New Roman" w:hAnsi="Times New Roman" w:cs="Times New Roman"/>
          <w:sz w:val="28"/>
          <w:szCs w:val="28"/>
        </w:rPr>
        <w:t xml:space="preserve"> </w:t>
      </w:r>
      <w:r w:rsidRPr="00E022EA">
        <w:rPr>
          <w:rFonts w:ascii="Times New Roman" w:hAnsi="Times New Roman" w:cs="Times New Roman"/>
          <w:sz w:val="28"/>
          <w:szCs w:val="28"/>
          <w:lang w:val="en-US"/>
        </w:rPr>
        <w:t>r</w:t>
      </w:r>
      <w:r w:rsidRPr="00E022EA">
        <w:rPr>
          <w:rFonts w:ascii="Times New Roman" w:hAnsi="Times New Roman" w:cs="Times New Roman"/>
          <w:sz w:val="28"/>
          <w:szCs w:val="28"/>
        </w:rPr>
        <w:t xml:space="preserve">=0,3608, </w:t>
      </w:r>
      <w:r w:rsidR="0073204E" w:rsidRPr="0073204E">
        <w:rPr>
          <w:rFonts w:ascii="Times New Roman" w:hAnsi="Times New Roman" w:cs="Times New Roman"/>
          <w:sz w:val="28"/>
          <w:szCs w:val="28"/>
        </w:rPr>
        <w:t>р</w:t>
      </w:r>
      <w:r w:rsidRPr="00E022EA">
        <w:rPr>
          <w:rFonts w:ascii="Times New Roman" w:hAnsi="Times New Roman" w:cs="Times New Roman"/>
          <w:sz w:val="28"/>
          <w:szCs w:val="28"/>
        </w:rPr>
        <w:t xml:space="preserve">&lt;0,0001; </w:t>
      </w:r>
      <w:r w:rsidRPr="00E022EA">
        <w:rPr>
          <w:rFonts w:ascii="Times New Roman" w:hAnsi="Times New Roman" w:cs="Times New Roman"/>
          <w:sz w:val="28"/>
          <w:szCs w:val="28"/>
          <w:lang w:val="en-US"/>
        </w:rPr>
        <w:t>ttPeak</w:t>
      </w:r>
      <w:r w:rsidRPr="00E022EA">
        <w:rPr>
          <w:rFonts w:ascii="Times New Roman" w:hAnsi="Times New Roman" w:cs="Times New Roman"/>
          <w:sz w:val="28"/>
          <w:szCs w:val="28"/>
        </w:rPr>
        <w:t xml:space="preserve"> </w:t>
      </w:r>
      <w:r w:rsidRPr="00E022EA">
        <w:rPr>
          <w:rFonts w:ascii="Times New Roman" w:hAnsi="Times New Roman" w:cs="Times New Roman"/>
          <w:sz w:val="28"/>
          <w:szCs w:val="28"/>
          <w:lang w:val="en-US"/>
        </w:rPr>
        <w:t>r</w:t>
      </w:r>
      <w:r w:rsidRPr="00E022EA">
        <w:rPr>
          <w:rFonts w:ascii="Times New Roman" w:hAnsi="Times New Roman" w:cs="Times New Roman"/>
          <w:sz w:val="28"/>
          <w:szCs w:val="28"/>
        </w:rPr>
        <w:t xml:space="preserve">=-0,6313, </w:t>
      </w:r>
      <w:r w:rsidR="0073204E" w:rsidRPr="0073204E">
        <w:rPr>
          <w:rFonts w:ascii="Times New Roman" w:hAnsi="Times New Roman" w:cs="Times New Roman"/>
          <w:sz w:val="28"/>
          <w:szCs w:val="28"/>
        </w:rPr>
        <w:t>р</w:t>
      </w:r>
      <w:r w:rsidRPr="00E022EA">
        <w:rPr>
          <w:rFonts w:ascii="Times New Roman" w:hAnsi="Times New Roman" w:cs="Times New Roman"/>
          <w:sz w:val="28"/>
          <w:szCs w:val="28"/>
        </w:rPr>
        <w:t>&lt;0,0001) [</w:t>
      </w:r>
      <w:r w:rsidR="003C5E0A" w:rsidRPr="003C5E0A">
        <w:rPr>
          <w:rFonts w:ascii="Times New Roman" w:hAnsi="Times New Roman" w:cs="Times New Roman"/>
          <w:sz w:val="28"/>
          <w:szCs w:val="28"/>
        </w:rPr>
        <w:t>1</w:t>
      </w:r>
      <w:r w:rsidR="00E82E69">
        <w:rPr>
          <w:rFonts w:ascii="Times New Roman" w:hAnsi="Times New Roman" w:cs="Times New Roman"/>
          <w:sz w:val="28"/>
          <w:szCs w:val="28"/>
        </w:rPr>
        <w:t>6</w:t>
      </w:r>
      <w:r w:rsidRPr="00E022EA">
        <w:rPr>
          <w:rFonts w:ascii="Times New Roman" w:hAnsi="Times New Roman" w:cs="Times New Roman"/>
          <w:sz w:val="28"/>
          <w:szCs w:val="28"/>
        </w:rPr>
        <w:t xml:space="preserve">]. Результаты работы </w:t>
      </w:r>
      <w:r w:rsidRPr="00E022EA">
        <w:rPr>
          <w:rFonts w:ascii="Times New Roman" w:hAnsi="Times New Roman" w:cs="Times New Roman"/>
          <w:sz w:val="28"/>
          <w:szCs w:val="28"/>
          <w:lang w:val="en-US"/>
        </w:rPr>
        <w:t>Haidl</w:t>
      </w:r>
      <w:r w:rsidRPr="00E022EA">
        <w:rPr>
          <w:rFonts w:ascii="Times New Roman" w:hAnsi="Times New Roman" w:cs="Times New Roman"/>
          <w:sz w:val="28"/>
          <w:szCs w:val="28"/>
        </w:rPr>
        <w:t xml:space="preserve"> </w:t>
      </w:r>
      <w:r w:rsidRPr="00E022EA">
        <w:rPr>
          <w:rFonts w:ascii="Times New Roman" w:hAnsi="Times New Roman" w:cs="Times New Roman"/>
          <w:sz w:val="28"/>
          <w:szCs w:val="28"/>
          <w:lang w:val="en-US"/>
        </w:rPr>
        <w:t>H</w:t>
      </w:r>
      <w:r w:rsidRPr="00E022EA">
        <w:rPr>
          <w:rFonts w:ascii="Times New Roman" w:hAnsi="Times New Roman" w:cs="Times New Roman"/>
          <w:sz w:val="28"/>
          <w:szCs w:val="28"/>
        </w:rPr>
        <w:t>. и коллег п</w:t>
      </w:r>
      <w:r w:rsidR="0073204E">
        <w:rPr>
          <w:rFonts w:ascii="Times New Roman" w:hAnsi="Times New Roman" w:cs="Times New Roman"/>
          <w:sz w:val="28"/>
          <w:szCs w:val="28"/>
        </w:rPr>
        <w:t>одтверждают</w:t>
      </w:r>
      <w:r w:rsidRPr="00E022EA">
        <w:rPr>
          <w:rFonts w:ascii="Times New Roman" w:hAnsi="Times New Roman" w:cs="Times New Roman"/>
          <w:sz w:val="28"/>
          <w:szCs w:val="28"/>
        </w:rPr>
        <w:t xml:space="preserve">, что </w:t>
      </w:r>
      <w:r w:rsidR="0073204E">
        <w:rPr>
          <w:rFonts w:ascii="Times New Roman" w:hAnsi="Times New Roman" w:cs="Times New Roman"/>
          <w:sz w:val="28"/>
          <w:szCs w:val="28"/>
        </w:rPr>
        <w:t>величина образования</w:t>
      </w:r>
      <w:r w:rsidRPr="00E022EA">
        <w:rPr>
          <w:rFonts w:ascii="Times New Roman" w:hAnsi="Times New Roman" w:cs="Times New Roman"/>
          <w:sz w:val="28"/>
          <w:szCs w:val="28"/>
        </w:rPr>
        <w:t xml:space="preserve"> тромбина зависит от возраста [</w:t>
      </w:r>
      <w:r w:rsidR="003C5E0A" w:rsidRPr="003C5E0A">
        <w:rPr>
          <w:rFonts w:ascii="Times New Roman" w:hAnsi="Times New Roman" w:cs="Times New Roman"/>
          <w:sz w:val="28"/>
          <w:szCs w:val="28"/>
        </w:rPr>
        <w:t>1</w:t>
      </w:r>
      <w:r w:rsidR="00E82E69">
        <w:rPr>
          <w:rFonts w:ascii="Times New Roman" w:hAnsi="Times New Roman" w:cs="Times New Roman"/>
          <w:sz w:val="28"/>
          <w:szCs w:val="28"/>
        </w:rPr>
        <w:t>7].</w:t>
      </w:r>
    </w:p>
    <w:p w14:paraId="0A007808" w14:textId="5D4745A1" w:rsidR="00610EC9" w:rsidRPr="003C5E0A" w:rsidRDefault="00610EC9" w:rsidP="00610EC9">
      <w:pPr>
        <w:spacing w:line="480" w:lineRule="auto"/>
        <w:ind w:firstLine="708"/>
        <w:contextualSpacing/>
        <w:jc w:val="both"/>
        <w:rPr>
          <w:rFonts w:ascii="Times New Roman" w:hAnsi="Times New Roman" w:cs="Times New Roman"/>
          <w:sz w:val="28"/>
          <w:szCs w:val="28"/>
        </w:rPr>
      </w:pPr>
      <w:r w:rsidRPr="00E82E69">
        <w:rPr>
          <w:rFonts w:ascii="Times New Roman" w:hAnsi="Times New Roman" w:cs="Times New Roman"/>
          <w:sz w:val="28"/>
          <w:szCs w:val="28"/>
          <w:highlight w:val="yellow"/>
        </w:rPr>
        <w:t>Следует отметить, что</w:t>
      </w:r>
      <w:r>
        <w:rPr>
          <w:rFonts w:ascii="Times New Roman" w:hAnsi="Times New Roman" w:cs="Times New Roman"/>
          <w:sz w:val="28"/>
          <w:szCs w:val="28"/>
        </w:rPr>
        <w:t xml:space="preserve"> </w:t>
      </w:r>
      <w:r>
        <w:rPr>
          <w:rFonts w:ascii="Times New Roman" w:hAnsi="Times New Roman" w:cs="Times New Roman"/>
          <w:sz w:val="28"/>
          <w:szCs w:val="28"/>
          <w:highlight w:val="yellow"/>
        </w:rPr>
        <w:t>в нашем исследовании мы работали с образц</w:t>
      </w:r>
      <w:r w:rsidR="008D6578">
        <w:rPr>
          <w:rFonts w:ascii="Times New Roman" w:hAnsi="Times New Roman" w:cs="Times New Roman"/>
          <w:sz w:val="28"/>
          <w:szCs w:val="28"/>
          <w:highlight w:val="yellow"/>
        </w:rPr>
        <w:t>ами замороженной плазмы.</w:t>
      </w:r>
      <w:r w:rsidRPr="00257FE7">
        <w:rPr>
          <w:rFonts w:ascii="Times New Roman" w:hAnsi="Times New Roman" w:cs="Times New Roman"/>
          <w:sz w:val="28"/>
          <w:szCs w:val="28"/>
          <w:highlight w:val="yellow"/>
        </w:rPr>
        <w:t xml:space="preserve"> В исследовании Kausche L.E. и соавторами было показано, что </w:t>
      </w:r>
      <w:r w:rsidRPr="00257FE7">
        <w:rPr>
          <w:rFonts w:ascii="Times New Roman" w:hAnsi="Times New Roman" w:cs="Times New Roman"/>
          <w:sz w:val="28"/>
          <w:szCs w:val="28"/>
          <w:highlight w:val="yellow"/>
          <w:lang w:val="en-US"/>
        </w:rPr>
        <w:t>Peak</w:t>
      </w:r>
      <w:r w:rsidRPr="00257FE7">
        <w:rPr>
          <w:rFonts w:ascii="Times New Roman" w:hAnsi="Times New Roman" w:cs="Times New Roman"/>
          <w:sz w:val="28"/>
          <w:szCs w:val="28"/>
          <w:highlight w:val="yellow"/>
        </w:rPr>
        <w:t xml:space="preserve"> </w:t>
      </w:r>
      <w:r w:rsidRPr="00257FE7">
        <w:rPr>
          <w:rFonts w:ascii="Times New Roman" w:hAnsi="Times New Roman" w:cs="Times New Roman"/>
          <w:sz w:val="28"/>
          <w:szCs w:val="28"/>
          <w:highlight w:val="yellow"/>
          <w:lang w:val="en-US"/>
        </w:rPr>
        <w:t>thr</w:t>
      </w:r>
      <w:r w:rsidRPr="00257FE7">
        <w:rPr>
          <w:rFonts w:ascii="Times New Roman" w:hAnsi="Times New Roman" w:cs="Times New Roman"/>
          <w:sz w:val="28"/>
          <w:szCs w:val="28"/>
          <w:highlight w:val="yellow"/>
        </w:rPr>
        <w:t>. в свежих и замороженных образцах РРР совпадал примерно в 50% образцов, а ЕТР совпадал почти в двух третях образцов.</w:t>
      </w:r>
      <w:r w:rsidRPr="00257FE7">
        <w:rPr>
          <w:rFonts w:ascii="Times New Roman" w:hAnsi="Times New Roman" w:cs="Times New Roman"/>
          <w:sz w:val="28"/>
          <w:szCs w:val="28"/>
        </w:rPr>
        <w:t xml:space="preserve"> </w:t>
      </w:r>
      <w:r w:rsidRPr="003C5E0A">
        <w:rPr>
          <w:rFonts w:ascii="Times New Roman" w:hAnsi="Times New Roman" w:cs="Times New Roman"/>
          <w:sz w:val="28"/>
          <w:szCs w:val="28"/>
          <w:highlight w:val="yellow"/>
        </w:rPr>
        <w:t>Кинетика образования тромбина была ниже в замороженных образцах по сравнению со свежей плазмой.</w:t>
      </w:r>
      <w:r w:rsidRPr="003C5E0A">
        <w:rPr>
          <w:highlight w:val="yellow"/>
        </w:rPr>
        <w:t xml:space="preserve"> </w:t>
      </w:r>
      <w:r w:rsidRPr="003C5E0A">
        <w:rPr>
          <w:rFonts w:ascii="Times New Roman" w:hAnsi="Times New Roman" w:cs="Times New Roman"/>
          <w:sz w:val="28"/>
          <w:szCs w:val="28"/>
          <w:highlight w:val="yellow"/>
        </w:rPr>
        <w:t>Однако</w:t>
      </w:r>
      <w:r w:rsidRPr="003C5E0A">
        <w:rPr>
          <w:highlight w:val="yellow"/>
        </w:rPr>
        <w:t xml:space="preserve"> </w:t>
      </w:r>
      <w:r w:rsidRPr="003C5E0A">
        <w:rPr>
          <w:rFonts w:ascii="Times New Roman" w:hAnsi="Times New Roman" w:cs="Times New Roman"/>
          <w:sz w:val="28"/>
          <w:szCs w:val="28"/>
          <w:highlight w:val="yellow"/>
        </w:rPr>
        <w:t>с практической точки зрения при использовании полуавтоматических технологий следует предпочесть замороженные пробы [1</w:t>
      </w:r>
      <w:r w:rsidR="00E82E69">
        <w:rPr>
          <w:rFonts w:ascii="Times New Roman" w:hAnsi="Times New Roman" w:cs="Times New Roman"/>
          <w:sz w:val="28"/>
          <w:szCs w:val="28"/>
          <w:highlight w:val="yellow"/>
        </w:rPr>
        <w:t>8</w:t>
      </w:r>
      <w:r w:rsidRPr="003C5E0A">
        <w:rPr>
          <w:rFonts w:ascii="Times New Roman" w:hAnsi="Times New Roman" w:cs="Times New Roman"/>
          <w:sz w:val="28"/>
          <w:szCs w:val="28"/>
          <w:highlight w:val="yellow"/>
        </w:rPr>
        <w:t>].</w:t>
      </w:r>
    </w:p>
    <w:p w14:paraId="6C5E382F" w14:textId="3F5387E6" w:rsidR="0073204E" w:rsidRDefault="00EF2837" w:rsidP="00822A60">
      <w:pPr>
        <w:spacing w:after="0" w:line="48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результате сравнения данных на двух приборах были обнаружены статистически значимые отличия по показателям </w:t>
      </w:r>
      <w:r>
        <w:rPr>
          <w:rFonts w:ascii="Times New Roman" w:hAnsi="Times New Roman" w:cs="Times New Roman"/>
          <w:sz w:val="28"/>
          <w:szCs w:val="28"/>
          <w:lang w:val="en-US"/>
        </w:rPr>
        <w:t>ETP</w:t>
      </w:r>
      <w:r w:rsidRPr="006968C3">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LT</w:t>
      </w:r>
      <w:r w:rsidRPr="000325F5">
        <w:rPr>
          <w:rFonts w:ascii="Times New Roman" w:hAnsi="Times New Roman" w:cs="Times New Roman"/>
          <w:sz w:val="28"/>
          <w:szCs w:val="28"/>
        </w:rPr>
        <w:t xml:space="preserve">. </w:t>
      </w:r>
      <w:r w:rsidR="0073204E">
        <w:rPr>
          <w:rFonts w:ascii="Times New Roman" w:hAnsi="Times New Roman" w:cs="Times New Roman"/>
          <w:sz w:val="28"/>
          <w:szCs w:val="28"/>
        </w:rPr>
        <w:t>Различия могут быть обусловлены разными методиками постановки.</w:t>
      </w:r>
      <w:r w:rsidR="000A1701">
        <w:rPr>
          <w:rFonts w:ascii="Times New Roman" w:hAnsi="Times New Roman" w:cs="Times New Roman"/>
          <w:sz w:val="28"/>
          <w:szCs w:val="28"/>
        </w:rPr>
        <w:t xml:space="preserve"> </w:t>
      </w:r>
      <w:r w:rsidR="00487ED8">
        <w:rPr>
          <w:rFonts w:ascii="Times New Roman" w:hAnsi="Times New Roman" w:cs="Times New Roman"/>
          <w:sz w:val="28"/>
          <w:szCs w:val="28"/>
        </w:rPr>
        <w:t xml:space="preserve">Технологии 1 </w:t>
      </w:r>
      <w:r w:rsidR="000A1701">
        <w:rPr>
          <w:rFonts w:ascii="Times New Roman" w:hAnsi="Times New Roman" w:cs="Times New Roman"/>
          <w:sz w:val="28"/>
          <w:szCs w:val="28"/>
        </w:rPr>
        <w:t xml:space="preserve">является </w:t>
      </w:r>
      <w:r w:rsidR="000A1701">
        <w:rPr>
          <w:rFonts w:ascii="Times New Roman" w:hAnsi="Times New Roman" w:cs="Times New Roman"/>
          <w:sz w:val="28"/>
          <w:szCs w:val="28"/>
        </w:rPr>
        <w:t>полуавтоматической</w:t>
      </w:r>
      <w:r w:rsidR="008D6578">
        <w:rPr>
          <w:rFonts w:ascii="Times New Roman" w:hAnsi="Times New Roman" w:cs="Times New Roman"/>
          <w:sz w:val="28"/>
          <w:szCs w:val="28"/>
        </w:rPr>
        <w:t xml:space="preserve"> (</w:t>
      </w:r>
      <w:r w:rsidR="000A1701">
        <w:rPr>
          <w:rFonts w:ascii="Times New Roman" w:hAnsi="Times New Roman" w:cs="Times New Roman"/>
          <w:sz w:val="28"/>
          <w:szCs w:val="28"/>
        </w:rPr>
        <w:t>смешивание реагента и исследуемой плазмы производится в 96-луночном планшете исследователем, флуорогенный субстрат добавляется автоматически</w:t>
      </w:r>
      <w:r w:rsidR="008D6578">
        <w:rPr>
          <w:rFonts w:ascii="Times New Roman" w:hAnsi="Times New Roman" w:cs="Times New Roman"/>
          <w:sz w:val="28"/>
          <w:szCs w:val="28"/>
        </w:rPr>
        <w:t>), в</w:t>
      </w:r>
      <w:r w:rsidR="000A1701">
        <w:rPr>
          <w:rFonts w:ascii="Times New Roman" w:hAnsi="Times New Roman" w:cs="Times New Roman"/>
          <w:sz w:val="28"/>
          <w:szCs w:val="28"/>
        </w:rPr>
        <w:t xml:space="preserve"> </w:t>
      </w:r>
      <w:r w:rsidR="000A1701">
        <w:rPr>
          <w:rFonts w:ascii="Times New Roman" w:hAnsi="Times New Roman" w:cs="Times New Roman"/>
          <w:sz w:val="28"/>
          <w:szCs w:val="28"/>
        </w:rPr>
        <w:t xml:space="preserve">то время как анализ ГТ </w:t>
      </w:r>
      <w:r w:rsidR="00877B21">
        <w:rPr>
          <w:rFonts w:ascii="Times New Roman" w:hAnsi="Times New Roman" w:cs="Times New Roman"/>
          <w:sz w:val="28"/>
          <w:szCs w:val="28"/>
        </w:rPr>
        <w:t>в Технологии 2</w:t>
      </w:r>
      <w:r w:rsidR="000A1701">
        <w:rPr>
          <w:rFonts w:ascii="Times New Roman" w:hAnsi="Times New Roman" w:cs="Times New Roman"/>
          <w:sz w:val="28"/>
          <w:szCs w:val="28"/>
        </w:rPr>
        <w:t xml:space="preserve"> происходит в автоматическом режиме. Показатели ТГТ чувствительны к изменениям температурного режима </w:t>
      </w:r>
      <w:r w:rsidR="000A1701" w:rsidRPr="00EA3C3A">
        <w:rPr>
          <w:rFonts w:ascii="Times New Roman" w:hAnsi="Times New Roman" w:cs="Times New Roman"/>
          <w:sz w:val="28"/>
          <w:szCs w:val="28"/>
        </w:rPr>
        <w:t>[</w:t>
      </w:r>
      <w:r w:rsidR="003C5E0A" w:rsidRPr="003C5E0A">
        <w:rPr>
          <w:rFonts w:ascii="Times New Roman" w:hAnsi="Times New Roman" w:cs="Times New Roman"/>
          <w:sz w:val="28"/>
          <w:szCs w:val="28"/>
        </w:rPr>
        <w:t>19</w:t>
      </w:r>
      <w:r w:rsidR="006F6CCC">
        <w:rPr>
          <w:rFonts w:ascii="Times New Roman" w:hAnsi="Times New Roman" w:cs="Times New Roman"/>
          <w:sz w:val="28"/>
          <w:szCs w:val="28"/>
        </w:rPr>
        <w:t>]</w:t>
      </w:r>
      <w:r w:rsidR="000A1701">
        <w:rPr>
          <w:rFonts w:ascii="Times New Roman" w:hAnsi="Times New Roman" w:cs="Times New Roman"/>
          <w:sz w:val="28"/>
          <w:szCs w:val="28"/>
        </w:rPr>
        <w:t>, поэтому в</w:t>
      </w:r>
      <w:r w:rsidR="0073204E">
        <w:rPr>
          <w:rFonts w:ascii="Times New Roman" w:hAnsi="Times New Roman" w:cs="Times New Roman"/>
          <w:sz w:val="28"/>
          <w:szCs w:val="28"/>
        </w:rPr>
        <w:t>ариация результатов может наблюдаться</w:t>
      </w:r>
      <w:r w:rsidR="000A1701">
        <w:rPr>
          <w:rFonts w:ascii="Times New Roman" w:hAnsi="Times New Roman" w:cs="Times New Roman"/>
          <w:sz w:val="28"/>
          <w:szCs w:val="28"/>
        </w:rPr>
        <w:t xml:space="preserve"> </w:t>
      </w:r>
      <w:r w:rsidR="000A1701">
        <w:rPr>
          <w:rFonts w:ascii="Times New Roman" w:hAnsi="Times New Roman" w:cs="Times New Roman"/>
          <w:sz w:val="28"/>
          <w:szCs w:val="28"/>
        </w:rPr>
        <w:lastRenderedPageBreak/>
        <w:t>и</w:t>
      </w:r>
      <w:r w:rsidR="0073204E">
        <w:rPr>
          <w:rFonts w:ascii="Times New Roman" w:hAnsi="Times New Roman" w:cs="Times New Roman"/>
          <w:sz w:val="28"/>
          <w:szCs w:val="28"/>
        </w:rPr>
        <w:t xml:space="preserve"> из-за разности приборной составляющей, поскольку</w:t>
      </w:r>
      <w:r w:rsidR="0073204E" w:rsidRPr="00C91093">
        <w:rPr>
          <w:rFonts w:ascii="Times New Roman" w:hAnsi="Times New Roman" w:cs="Times New Roman"/>
          <w:sz w:val="28"/>
          <w:szCs w:val="28"/>
        </w:rPr>
        <w:t xml:space="preserve"> </w:t>
      </w:r>
      <w:r w:rsidR="0073204E">
        <w:rPr>
          <w:rFonts w:ascii="Times New Roman" w:hAnsi="Times New Roman" w:cs="Times New Roman"/>
          <w:sz w:val="28"/>
          <w:szCs w:val="28"/>
        </w:rPr>
        <w:t xml:space="preserve">адекватного термостатирования проще добиться в кюветном сегменте, представленном в </w:t>
      </w:r>
      <w:r w:rsidR="0073204E">
        <w:rPr>
          <w:rFonts w:ascii="Times New Roman" w:hAnsi="Times New Roman" w:cs="Times New Roman"/>
          <w:sz w:val="28"/>
          <w:szCs w:val="28"/>
          <w:lang w:val="en-US"/>
        </w:rPr>
        <w:t>Ceveron</w:t>
      </w:r>
      <w:r w:rsidR="0073204E" w:rsidRPr="00C91093">
        <w:rPr>
          <w:rFonts w:ascii="Times New Roman" w:hAnsi="Times New Roman" w:cs="Times New Roman"/>
          <w:sz w:val="28"/>
          <w:szCs w:val="28"/>
        </w:rPr>
        <w:t xml:space="preserve"> </w:t>
      </w:r>
      <w:r w:rsidR="0073204E">
        <w:rPr>
          <w:rFonts w:ascii="Times New Roman" w:hAnsi="Times New Roman" w:cs="Times New Roman"/>
          <w:sz w:val="28"/>
          <w:szCs w:val="28"/>
          <w:lang w:val="en-US"/>
        </w:rPr>
        <w:t>Alpha</w:t>
      </w:r>
      <w:r w:rsidR="00877B21">
        <w:rPr>
          <w:rFonts w:ascii="Times New Roman" w:hAnsi="Times New Roman" w:cs="Times New Roman"/>
          <w:sz w:val="28"/>
          <w:szCs w:val="28"/>
        </w:rPr>
        <w:t xml:space="preserve"> (Технология 2)</w:t>
      </w:r>
      <w:r w:rsidR="0073204E">
        <w:rPr>
          <w:rFonts w:ascii="Times New Roman" w:hAnsi="Times New Roman" w:cs="Times New Roman"/>
          <w:sz w:val="28"/>
          <w:szCs w:val="28"/>
        </w:rPr>
        <w:t>.</w:t>
      </w:r>
      <w:r w:rsidR="000A1701" w:rsidRPr="000A1701">
        <w:rPr>
          <w:rFonts w:ascii="Times New Roman" w:hAnsi="Times New Roman" w:cs="Times New Roman"/>
          <w:sz w:val="28"/>
          <w:szCs w:val="28"/>
        </w:rPr>
        <w:t xml:space="preserve"> </w:t>
      </w:r>
      <w:r w:rsidR="000A1701">
        <w:rPr>
          <w:rFonts w:ascii="Times New Roman" w:hAnsi="Times New Roman" w:cs="Times New Roman"/>
          <w:sz w:val="28"/>
          <w:szCs w:val="28"/>
        </w:rPr>
        <w:t xml:space="preserve">Еще одним отличием является процентное содержание плазмы в исследуемой смеси. </w:t>
      </w:r>
      <w:r w:rsidR="000A1701" w:rsidRPr="000A1701">
        <w:rPr>
          <w:rFonts w:ascii="Times New Roman" w:hAnsi="Times New Roman" w:cs="Times New Roman"/>
          <w:sz w:val="28"/>
          <w:szCs w:val="28"/>
        </w:rPr>
        <w:t>В</w:t>
      </w:r>
      <w:r w:rsidR="0073204E" w:rsidRPr="000A1701">
        <w:rPr>
          <w:rFonts w:ascii="Times New Roman" w:hAnsi="Times New Roman" w:cs="Times New Roman"/>
          <w:sz w:val="28"/>
          <w:szCs w:val="28"/>
        </w:rPr>
        <w:t xml:space="preserve"> </w:t>
      </w:r>
      <w:r w:rsidR="00877B21">
        <w:rPr>
          <w:rFonts w:ascii="Times New Roman" w:hAnsi="Times New Roman" w:cs="Times New Roman"/>
          <w:sz w:val="28"/>
          <w:szCs w:val="28"/>
        </w:rPr>
        <w:t xml:space="preserve">Технологии 2 </w:t>
      </w:r>
      <w:r w:rsidR="0073204E" w:rsidRPr="000A1701">
        <w:rPr>
          <w:rFonts w:ascii="Times New Roman" w:eastAsia="Times New Roman" w:hAnsi="Times New Roman" w:cs="Times New Roman"/>
          <w:sz w:val="28"/>
          <w:szCs w:val="28"/>
          <w:lang w:eastAsia="ru-RU"/>
        </w:rPr>
        <w:t xml:space="preserve">используется 40 мкл плазмы в общем объеме 100 мкл (40% плазмы), тогда как в </w:t>
      </w:r>
      <w:r w:rsidR="00487ED8">
        <w:rPr>
          <w:rFonts w:ascii="Times New Roman" w:hAnsi="Times New Roman" w:cs="Times New Roman"/>
          <w:sz w:val="28"/>
          <w:szCs w:val="28"/>
        </w:rPr>
        <w:t xml:space="preserve">Технологии 1 </w:t>
      </w:r>
      <w:r w:rsidR="0073204E" w:rsidRPr="000A1701">
        <w:rPr>
          <w:rFonts w:ascii="Times New Roman" w:eastAsia="Times New Roman" w:hAnsi="Times New Roman" w:cs="Times New Roman"/>
          <w:sz w:val="28"/>
          <w:szCs w:val="28"/>
          <w:lang w:eastAsia="ru-RU"/>
        </w:rPr>
        <w:t>используется 80 мкл плазмы в общем объеме 120 мкл (67% плазмы). По мере уменьшения процента объема плазмы в аналитической смеси образование тромбина увеличивается, достигая пика, когда объем плазмы составляет примерно 20-30%, а затем снижается при меньших объемах плазмы [</w:t>
      </w:r>
      <w:r w:rsidR="003C5E0A" w:rsidRPr="003C5E0A">
        <w:rPr>
          <w:rFonts w:ascii="Times New Roman" w:eastAsia="Times New Roman" w:hAnsi="Times New Roman" w:cs="Times New Roman"/>
          <w:sz w:val="28"/>
          <w:szCs w:val="28"/>
          <w:lang w:eastAsia="ru-RU"/>
        </w:rPr>
        <w:t>20</w:t>
      </w:r>
      <w:r w:rsidR="0073204E" w:rsidRPr="000A1701">
        <w:rPr>
          <w:rFonts w:ascii="Times New Roman" w:eastAsia="Times New Roman" w:hAnsi="Times New Roman" w:cs="Times New Roman"/>
          <w:sz w:val="28"/>
          <w:szCs w:val="28"/>
          <w:lang w:eastAsia="ru-RU"/>
        </w:rPr>
        <w:t xml:space="preserve">]. Также методики различаются и в калибровке: </w:t>
      </w:r>
      <w:r w:rsidR="00877B21">
        <w:rPr>
          <w:rFonts w:ascii="Times New Roman" w:eastAsia="Times New Roman" w:hAnsi="Times New Roman" w:cs="Times New Roman"/>
          <w:sz w:val="28"/>
          <w:szCs w:val="28"/>
          <w:lang w:eastAsia="ru-RU"/>
        </w:rPr>
        <w:t xml:space="preserve">в </w:t>
      </w:r>
      <w:r w:rsidR="00877B21">
        <w:rPr>
          <w:rFonts w:ascii="Times New Roman" w:hAnsi="Times New Roman" w:cs="Times New Roman"/>
          <w:sz w:val="28"/>
          <w:szCs w:val="28"/>
        </w:rPr>
        <w:t>Технологии 2</w:t>
      </w:r>
      <w:r w:rsidR="0073204E" w:rsidRPr="000A1701">
        <w:rPr>
          <w:rFonts w:ascii="Times New Roman" w:eastAsia="Times New Roman" w:hAnsi="Times New Roman" w:cs="Times New Roman"/>
          <w:sz w:val="28"/>
          <w:szCs w:val="28"/>
          <w:lang w:eastAsia="ru-RU"/>
        </w:rPr>
        <w:t xml:space="preserve"> используется человеческий тромбин (1 мкмоль л</w:t>
      </w:r>
      <w:r w:rsidR="0073204E" w:rsidRPr="000A1701">
        <w:rPr>
          <w:rFonts w:ascii="Times New Roman" w:eastAsia="Times New Roman" w:hAnsi="Times New Roman" w:cs="Times New Roman"/>
          <w:sz w:val="28"/>
          <w:szCs w:val="28"/>
          <w:vertAlign w:val="superscript"/>
          <w:lang w:eastAsia="ru-RU"/>
        </w:rPr>
        <w:t>−1</w:t>
      </w:r>
      <w:r w:rsidR="0073204E" w:rsidRPr="000A1701">
        <w:rPr>
          <w:rFonts w:ascii="Times New Roman" w:eastAsia="Times New Roman" w:hAnsi="Times New Roman" w:cs="Times New Roman"/>
          <w:sz w:val="28"/>
          <w:szCs w:val="28"/>
          <w:lang w:eastAsia="ru-RU"/>
        </w:rPr>
        <w:t>) в буфере с бычьим сывороточным альбумином, в то время как</w:t>
      </w:r>
      <w:r w:rsidR="000A1701" w:rsidRPr="000A1701">
        <w:rPr>
          <w:rFonts w:ascii="Times New Roman" w:eastAsia="Times New Roman" w:hAnsi="Times New Roman" w:cs="Times New Roman"/>
          <w:sz w:val="28"/>
          <w:szCs w:val="28"/>
          <w:lang w:eastAsia="ru-RU"/>
        </w:rPr>
        <w:t xml:space="preserve"> в</w:t>
      </w:r>
      <w:r w:rsidR="0073204E" w:rsidRPr="000A1701">
        <w:rPr>
          <w:rFonts w:ascii="Times New Roman" w:eastAsia="Times New Roman" w:hAnsi="Times New Roman" w:cs="Times New Roman"/>
          <w:sz w:val="28"/>
          <w:szCs w:val="28"/>
          <w:lang w:eastAsia="ru-RU"/>
        </w:rPr>
        <w:t xml:space="preserve"> </w:t>
      </w:r>
      <w:r w:rsidR="00487ED8">
        <w:rPr>
          <w:rFonts w:ascii="Times New Roman" w:hAnsi="Times New Roman" w:cs="Times New Roman"/>
          <w:sz w:val="28"/>
          <w:szCs w:val="28"/>
        </w:rPr>
        <w:t xml:space="preserve">Технологии 1 </w:t>
      </w:r>
      <w:r w:rsidR="0073204E" w:rsidRPr="000A1701">
        <w:rPr>
          <w:rFonts w:ascii="Times New Roman" w:eastAsia="Times New Roman" w:hAnsi="Times New Roman" w:cs="Times New Roman"/>
          <w:sz w:val="28"/>
          <w:szCs w:val="28"/>
          <w:lang w:eastAsia="ru-RU"/>
        </w:rPr>
        <w:t>использует</w:t>
      </w:r>
      <w:r w:rsidR="000A1701" w:rsidRPr="000A1701">
        <w:rPr>
          <w:rFonts w:ascii="Times New Roman" w:eastAsia="Times New Roman" w:hAnsi="Times New Roman" w:cs="Times New Roman"/>
          <w:sz w:val="28"/>
          <w:szCs w:val="28"/>
          <w:lang w:eastAsia="ru-RU"/>
        </w:rPr>
        <w:t>ся</w:t>
      </w:r>
      <w:r w:rsidR="0073204E" w:rsidRPr="000A1701">
        <w:rPr>
          <w:rFonts w:ascii="Times New Roman" w:eastAsia="Times New Roman" w:hAnsi="Times New Roman" w:cs="Times New Roman"/>
          <w:sz w:val="28"/>
          <w:szCs w:val="28"/>
          <w:lang w:eastAsia="ru-RU"/>
        </w:rPr>
        <w:t xml:space="preserve"> </w:t>
      </w:r>
      <w:r w:rsidR="0073204E" w:rsidRPr="000A1701">
        <w:rPr>
          <w:rFonts w:ascii="Times New Roman" w:hAnsi="Times New Roman" w:cs="Times New Roman"/>
          <w:sz w:val="28"/>
          <w:szCs w:val="28"/>
        </w:rPr>
        <w:t>человеческий α2M-тромбин (0,5-1,0 мкмоль л</w:t>
      </w:r>
      <w:r w:rsidR="0073204E" w:rsidRPr="000A1701">
        <w:rPr>
          <w:rFonts w:ascii="Times New Roman" w:hAnsi="Times New Roman" w:cs="Times New Roman"/>
          <w:sz w:val="28"/>
          <w:szCs w:val="28"/>
          <w:vertAlign w:val="superscript"/>
        </w:rPr>
        <w:t>−1</w:t>
      </w:r>
      <w:r w:rsidR="0073204E" w:rsidRPr="000A1701">
        <w:rPr>
          <w:rFonts w:ascii="Times New Roman" w:hAnsi="Times New Roman" w:cs="Times New Roman"/>
          <w:sz w:val="28"/>
          <w:szCs w:val="28"/>
        </w:rPr>
        <w:t>) с последующей коррекцией результатов [</w:t>
      </w:r>
      <w:r w:rsidR="003C5E0A" w:rsidRPr="003C5E0A">
        <w:rPr>
          <w:rFonts w:ascii="Times New Roman" w:hAnsi="Times New Roman" w:cs="Times New Roman"/>
          <w:sz w:val="28"/>
          <w:szCs w:val="28"/>
        </w:rPr>
        <w:t>21</w:t>
      </w:r>
      <w:r w:rsidR="0073204E" w:rsidRPr="000A1701">
        <w:rPr>
          <w:rFonts w:ascii="Times New Roman" w:hAnsi="Times New Roman" w:cs="Times New Roman"/>
          <w:sz w:val="28"/>
          <w:szCs w:val="28"/>
        </w:rPr>
        <w:t xml:space="preserve">]. Как показано в литературе, концентрация и происхождение тканевого фактора и фосфолипидов сильно влияют на параметры ТГТ </w:t>
      </w:r>
      <w:r w:rsidR="0073204E" w:rsidRPr="000A1701">
        <w:rPr>
          <w:rFonts w:ascii="Times New Roman" w:hAnsi="Times New Roman" w:cs="Times New Roman"/>
          <w:sz w:val="28"/>
          <w:szCs w:val="28"/>
        </w:rPr>
        <w:fldChar w:fldCharType="begin"/>
      </w:r>
      <w:r w:rsidR="0073204E" w:rsidRPr="000A1701">
        <w:rPr>
          <w:rFonts w:ascii="Times New Roman" w:hAnsi="Times New Roman" w:cs="Times New Roman"/>
          <w:sz w:val="28"/>
          <w:szCs w:val="28"/>
        </w:rPr>
        <w:instrText xml:space="preserve"> ADDIN ZOTERO_ITEM CSL_CITATION {"citationID":"y3s2oWxc","properties":{"formattedCitation":"(22)","plainCitation":"(22)","noteIndex":0},"citationItems":[{"id":"MkePDU5i/rIcYx64k","uris":["http://zotero.org/users/4535407/items/W9SS5LKK"],"itemData":{"id":715,"type":"article-journal","abstract":"Thrombin is the pivotal enzyme in the biochemistry of secondary hemostasis crucial to maintaining homeostasis of hemostasis. In contrast to routine coagulation tests (PT or aPTT) or procoagulant or anticoagulant factor assays (e.g. fibrinogen, factor VIII, antithrombin or protein C), the thrombin generation assay (TGA), also named thrombin generation test (TGT) is a so-called \"global assay\" that provides a picture of the hemostasis balance though a continuous and simultaneous measurement of thrombin formation and inhibition. First described in the early 1950s, as a manual assay, efforts have been made in order to standardize and automate the assay to offer researchers, clinical laboratories and the pharmaceutical industry a versatile tool covering a wide range of clinical and non-clinical applications. This review describes technical options offered to properly run TGA, including a review of preanalytical and analytical items, performance, interpretation, and applications in physiology research and pharmacy.","container-title":"Journal of thrombosis and haemostasis: JTH","DOI":"10.1111/jth.15529","ISSN":"1538-7836","issue":"12","journalAbbreviation":"J Thromb Haemost","language":"eng","note":"PMID: 34525255","page":"2907-2917","source":"PubMed","title":"Thrombin generation assays are versatile tools in blood coagulation analysis: A review of technical features, and applications from research to laboratory routine","title-short":"Thrombin generation assays are versatile tools in blood coagulation analysis","volume":"19","author":[{"family":"Depasse","given":"François"},{"family":"Binder","given":"Nikolaus B."},{"family":"Mueller","given":"Julia"},{"family":"Wissel","given":"Thomas"},{"family":"Schwers","given":"Stephan"},{"family":"Germer","given":"Matthias"},{"family":"Hermes","given":"Björn"},{"family":"Turecek","given":"Peter L."}],"issued":{"date-parts":[["2021",12]]}}}],"schema":"https://github.com/citation-style-language/schema/raw/master/csl-citation.json"} </w:instrText>
      </w:r>
      <w:r w:rsidR="0073204E" w:rsidRPr="000A1701">
        <w:rPr>
          <w:rFonts w:ascii="Times New Roman" w:hAnsi="Times New Roman" w:cs="Times New Roman"/>
          <w:sz w:val="28"/>
          <w:szCs w:val="28"/>
        </w:rPr>
        <w:fldChar w:fldCharType="separate"/>
      </w:r>
      <w:r w:rsidR="0073204E" w:rsidRPr="000A1701">
        <w:rPr>
          <w:rFonts w:ascii="Times New Roman" w:hAnsi="Times New Roman" w:cs="Times New Roman"/>
          <w:sz w:val="28"/>
        </w:rPr>
        <w:t>[</w:t>
      </w:r>
      <w:r w:rsidR="003C5E0A" w:rsidRPr="00E82E69">
        <w:rPr>
          <w:rFonts w:ascii="Times New Roman" w:hAnsi="Times New Roman" w:cs="Times New Roman"/>
          <w:sz w:val="28"/>
        </w:rPr>
        <w:t>22</w:t>
      </w:r>
      <w:r w:rsidR="0073204E" w:rsidRPr="000A1701">
        <w:rPr>
          <w:rFonts w:ascii="Times New Roman" w:hAnsi="Times New Roman" w:cs="Times New Roman"/>
          <w:sz w:val="28"/>
        </w:rPr>
        <w:t>]</w:t>
      </w:r>
      <w:r w:rsidR="0073204E" w:rsidRPr="000A1701">
        <w:rPr>
          <w:rFonts w:ascii="Times New Roman" w:hAnsi="Times New Roman" w:cs="Times New Roman"/>
          <w:sz w:val="28"/>
          <w:szCs w:val="28"/>
        </w:rPr>
        <w:fldChar w:fldCharType="end"/>
      </w:r>
      <w:r w:rsidR="0073204E" w:rsidRPr="000A1701">
        <w:rPr>
          <w:rFonts w:ascii="Times New Roman" w:hAnsi="Times New Roman" w:cs="Times New Roman"/>
          <w:sz w:val="28"/>
          <w:szCs w:val="28"/>
        </w:rPr>
        <w:t xml:space="preserve">. В </w:t>
      </w:r>
      <w:r w:rsidR="00487ED8">
        <w:rPr>
          <w:rFonts w:ascii="Times New Roman" w:hAnsi="Times New Roman" w:cs="Times New Roman"/>
          <w:sz w:val="28"/>
          <w:szCs w:val="28"/>
        </w:rPr>
        <w:t>Технологии 1</w:t>
      </w:r>
      <w:r w:rsidR="0073204E" w:rsidRPr="000A1701">
        <w:rPr>
          <w:rFonts w:ascii="Times New Roman" w:hAnsi="Times New Roman" w:cs="Times New Roman"/>
          <w:sz w:val="28"/>
          <w:szCs w:val="28"/>
        </w:rPr>
        <w:t xml:space="preserve"> используется триггерный реагент со средней концентрацией тканевого фактора (5 пмоль), а пусковой реагент </w:t>
      </w:r>
      <w:r w:rsidR="0073204E" w:rsidRPr="000A1701">
        <w:rPr>
          <w:rFonts w:ascii="Times New Roman" w:hAnsi="Times New Roman" w:cs="Times New Roman"/>
          <w:sz w:val="28"/>
          <w:szCs w:val="28"/>
          <w:lang w:val="en-US"/>
        </w:rPr>
        <w:t>RC</w:t>
      </w:r>
      <w:r w:rsidR="0073204E" w:rsidRPr="000A1701">
        <w:rPr>
          <w:rFonts w:ascii="Times New Roman" w:hAnsi="Times New Roman" w:cs="Times New Roman"/>
          <w:sz w:val="28"/>
          <w:szCs w:val="28"/>
        </w:rPr>
        <w:t xml:space="preserve"> </w:t>
      </w:r>
      <w:r w:rsidR="0073204E" w:rsidRPr="000A1701">
        <w:rPr>
          <w:rFonts w:ascii="Times New Roman" w:hAnsi="Times New Roman" w:cs="Times New Roman"/>
          <w:sz w:val="28"/>
          <w:szCs w:val="28"/>
          <w:lang w:val="en-US"/>
        </w:rPr>
        <w:t>Low</w:t>
      </w:r>
      <w:r w:rsidR="0073204E" w:rsidRPr="000A1701">
        <w:rPr>
          <w:rFonts w:ascii="Times New Roman" w:hAnsi="Times New Roman" w:cs="Times New Roman"/>
          <w:sz w:val="28"/>
          <w:szCs w:val="28"/>
        </w:rPr>
        <w:t xml:space="preserve"> </w:t>
      </w:r>
      <w:r w:rsidR="000A1701" w:rsidRPr="000A1701">
        <w:rPr>
          <w:rFonts w:ascii="Times New Roman" w:hAnsi="Times New Roman" w:cs="Times New Roman"/>
          <w:sz w:val="28"/>
          <w:szCs w:val="28"/>
        </w:rPr>
        <w:t>содержит</w:t>
      </w:r>
      <w:r w:rsidR="0073204E" w:rsidRPr="000A1701">
        <w:rPr>
          <w:rFonts w:ascii="Times New Roman" w:hAnsi="Times New Roman" w:cs="Times New Roman"/>
          <w:sz w:val="28"/>
          <w:szCs w:val="28"/>
        </w:rPr>
        <w:t xml:space="preserve"> с низк</w:t>
      </w:r>
      <w:r w:rsidR="000A1701" w:rsidRPr="000A1701">
        <w:rPr>
          <w:rFonts w:ascii="Times New Roman" w:hAnsi="Times New Roman" w:cs="Times New Roman"/>
          <w:sz w:val="28"/>
          <w:szCs w:val="28"/>
        </w:rPr>
        <w:t>ую</w:t>
      </w:r>
      <w:r w:rsidR="0073204E" w:rsidRPr="000A1701">
        <w:rPr>
          <w:rFonts w:ascii="Times New Roman" w:hAnsi="Times New Roman" w:cs="Times New Roman"/>
          <w:sz w:val="28"/>
          <w:szCs w:val="28"/>
        </w:rPr>
        <w:t xml:space="preserve"> концентраци</w:t>
      </w:r>
      <w:r w:rsidR="000A1701" w:rsidRPr="000A1701">
        <w:rPr>
          <w:rFonts w:ascii="Times New Roman" w:hAnsi="Times New Roman" w:cs="Times New Roman"/>
          <w:sz w:val="28"/>
          <w:szCs w:val="28"/>
        </w:rPr>
        <w:t>ю</w:t>
      </w:r>
      <w:r w:rsidR="0073204E" w:rsidRPr="000A1701">
        <w:rPr>
          <w:rFonts w:ascii="Times New Roman" w:hAnsi="Times New Roman" w:cs="Times New Roman"/>
          <w:sz w:val="28"/>
          <w:szCs w:val="28"/>
        </w:rPr>
        <w:t xml:space="preserve"> ТФ. </w:t>
      </w:r>
    </w:p>
    <w:p w14:paraId="3C3D4C4C" w14:textId="166C72E9" w:rsidR="00B67A59" w:rsidRPr="00450B55" w:rsidRDefault="003A1E4F" w:rsidP="00450B55">
      <w:pPr>
        <w:spacing w:after="0" w:line="480" w:lineRule="auto"/>
        <w:ind w:firstLine="708"/>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Основными параметрами, анализируемыми в литературе, являются эндогенный тромбиновый потенциал и пиковая концентрация тромбина. В ходе исследования были разработаны </w:t>
      </w:r>
      <w:r w:rsidR="008D6578">
        <w:rPr>
          <w:rFonts w:ascii="Times New Roman" w:hAnsi="Times New Roman" w:cs="Times New Roman"/>
          <w:sz w:val="28"/>
          <w:szCs w:val="28"/>
        </w:rPr>
        <w:t xml:space="preserve">внутрилабораторные </w:t>
      </w:r>
      <w:r>
        <w:rPr>
          <w:rFonts w:ascii="Times New Roman" w:hAnsi="Times New Roman" w:cs="Times New Roman"/>
          <w:sz w:val="28"/>
          <w:szCs w:val="28"/>
        </w:rPr>
        <w:t xml:space="preserve">референтные интервалы для двух технологий. РИ для Технологии 1: </w:t>
      </w:r>
      <w:r w:rsidR="00877B21">
        <w:rPr>
          <w:rFonts w:ascii="Times New Roman" w:hAnsi="Times New Roman" w:cs="Times New Roman"/>
          <w:sz w:val="28"/>
          <w:szCs w:val="28"/>
        </w:rPr>
        <w:t>ЕТР 1478,0-2595,0 нмоль/</w:t>
      </w:r>
      <w:r w:rsidRPr="003A1E4F">
        <w:rPr>
          <w:rFonts w:ascii="Times New Roman" w:hAnsi="Times New Roman" w:cs="Times New Roman"/>
          <w:sz w:val="28"/>
          <w:szCs w:val="28"/>
        </w:rPr>
        <w:t>мин</w:t>
      </w:r>
      <w:r w:rsidR="00877B21">
        <w:rPr>
          <w:rFonts w:ascii="Times New Roman" w:hAnsi="Times New Roman" w:cs="Times New Roman"/>
          <w:sz w:val="28"/>
          <w:szCs w:val="28"/>
        </w:rPr>
        <w:t xml:space="preserve"> и Peak thr. 221,6-412,0 нмоль</w:t>
      </w:r>
      <w:r w:rsidRPr="003A1E4F">
        <w:rPr>
          <w:rFonts w:ascii="Times New Roman" w:hAnsi="Times New Roman" w:cs="Times New Roman"/>
          <w:sz w:val="28"/>
          <w:szCs w:val="28"/>
        </w:rPr>
        <w:t>. РИ для Технологи</w:t>
      </w:r>
      <w:r w:rsidR="00877B21">
        <w:rPr>
          <w:rFonts w:ascii="Times New Roman" w:hAnsi="Times New Roman" w:cs="Times New Roman"/>
          <w:sz w:val="28"/>
          <w:szCs w:val="28"/>
        </w:rPr>
        <w:t>и 2: ЕТР 2451,00-3161,00 нмоль/</w:t>
      </w:r>
      <w:r w:rsidRPr="003A1E4F">
        <w:rPr>
          <w:rFonts w:ascii="Times New Roman" w:hAnsi="Times New Roman" w:cs="Times New Roman"/>
          <w:sz w:val="28"/>
          <w:szCs w:val="28"/>
        </w:rPr>
        <w:t>мин и</w:t>
      </w:r>
      <w:r w:rsidR="00877B21">
        <w:rPr>
          <w:rFonts w:ascii="Times New Roman" w:hAnsi="Times New Roman" w:cs="Times New Roman"/>
          <w:sz w:val="28"/>
          <w:szCs w:val="28"/>
        </w:rPr>
        <w:t xml:space="preserve"> </w:t>
      </w:r>
      <w:r w:rsidR="00877B21">
        <w:rPr>
          <w:rFonts w:ascii="Times New Roman" w:hAnsi="Times New Roman" w:cs="Times New Roman"/>
          <w:sz w:val="28"/>
          <w:szCs w:val="28"/>
        </w:rPr>
        <w:lastRenderedPageBreak/>
        <w:t>Peak thr. 161,60-479,30 нмоль</w:t>
      </w:r>
      <w:r w:rsidRPr="003A1E4F">
        <w:rPr>
          <w:rFonts w:ascii="Times New Roman" w:hAnsi="Times New Roman" w:cs="Times New Roman"/>
          <w:sz w:val="28"/>
          <w:szCs w:val="28"/>
        </w:rPr>
        <w:t>.</w:t>
      </w:r>
      <w:r w:rsidR="00536CFA">
        <w:rPr>
          <w:rFonts w:ascii="Times New Roman" w:hAnsi="Times New Roman" w:cs="Times New Roman"/>
          <w:sz w:val="28"/>
          <w:szCs w:val="28"/>
        </w:rPr>
        <w:t xml:space="preserve"> </w:t>
      </w:r>
      <w:r w:rsidR="00536CFA">
        <w:rPr>
          <w:rFonts w:ascii="Times New Roman" w:eastAsia="Times New Roman" w:hAnsi="Times New Roman" w:cs="Times New Roman"/>
          <w:sz w:val="28"/>
          <w:szCs w:val="28"/>
          <w:lang w:eastAsia="ru-RU"/>
        </w:rPr>
        <w:t>Полученный диапазон РИ соответствует РИ производителя,</w:t>
      </w:r>
      <w:r w:rsidR="00450B55">
        <w:rPr>
          <w:rFonts w:ascii="Times New Roman" w:eastAsia="Times New Roman" w:hAnsi="Times New Roman" w:cs="Times New Roman"/>
          <w:sz w:val="28"/>
          <w:szCs w:val="28"/>
          <w:lang w:eastAsia="ru-RU"/>
        </w:rPr>
        <w:t xml:space="preserve"> </w:t>
      </w:r>
      <w:r w:rsidR="00B67A59">
        <w:rPr>
          <w:rFonts w:ascii="Times New Roman" w:eastAsia="Times New Roman" w:hAnsi="Times New Roman" w:cs="Times New Roman"/>
          <w:sz w:val="28"/>
          <w:szCs w:val="28"/>
          <w:lang w:eastAsia="ru-RU"/>
        </w:rPr>
        <w:t>что свидетельствует о воспроизводимости результатов, полученных Технологией 2</w:t>
      </w:r>
      <w:r w:rsidR="00536CFA">
        <w:rPr>
          <w:rFonts w:ascii="Times New Roman" w:eastAsia="Times New Roman" w:hAnsi="Times New Roman" w:cs="Times New Roman"/>
          <w:sz w:val="28"/>
          <w:szCs w:val="28"/>
          <w:lang w:eastAsia="ru-RU"/>
        </w:rPr>
        <w:t>,</w:t>
      </w:r>
      <w:r w:rsidR="00B67A59">
        <w:rPr>
          <w:rFonts w:ascii="Times New Roman" w:eastAsia="Times New Roman" w:hAnsi="Times New Roman" w:cs="Times New Roman"/>
          <w:sz w:val="28"/>
          <w:szCs w:val="28"/>
          <w:lang w:eastAsia="ru-RU"/>
        </w:rPr>
        <w:t xml:space="preserve"> </w:t>
      </w:r>
      <w:r w:rsidR="00A020B9">
        <w:rPr>
          <w:rFonts w:ascii="Times New Roman" w:eastAsia="Times New Roman" w:hAnsi="Times New Roman" w:cs="Times New Roman"/>
          <w:sz w:val="28"/>
          <w:szCs w:val="28"/>
          <w:lang w:eastAsia="ru-RU"/>
        </w:rPr>
        <w:t>в нашей лаборатории</w:t>
      </w:r>
      <w:r w:rsidR="00B67A59">
        <w:rPr>
          <w:rFonts w:ascii="Times New Roman" w:eastAsia="Times New Roman" w:hAnsi="Times New Roman" w:cs="Times New Roman"/>
          <w:sz w:val="28"/>
          <w:szCs w:val="28"/>
          <w:lang w:eastAsia="ru-RU"/>
        </w:rPr>
        <w:t>.</w:t>
      </w:r>
    </w:p>
    <w:p w14:paraId="6EB0E0CD" w14:textId="3AE966F6" w:rsidR="00BD14AA" w:rsidRPr="00A020B9" w:rsidRDefault="00BD14AA" w:rsidP="00BD14AA">
      <w:pPr>
        <w:spacing w:line="480" w:lineRule="auto"/>
        <w:ind w:firstLine="708"/>
        <w:contextualSpacing/>
        <w:jc w:val="both"/>
        <w:rPr>
          <w:rFonts w:ascii="Times New Roman" w:hAnsi="Times New Roman" w:cs="Times New Roman"/>
          <w:b/>
          <w:color w:val="000000"/>
          <w:sz w:val="28"/>
          <w:szCs w:val="28"/>
          <w:highlight w:val="yellow"/>
          <w:shd w:val="clear" w:color="auto" w:fill="FFFFFF"/>
        </w:rPr>
      </w:pPr>
      <w:r w:rsidRPr="00A020B9">
        <w:rPr>
          <w:rFonts w:ascii="Times New Roman" w:hAnsi="Times New Roman" w:cs="Times New Roman"/>
          <w:b/>
          <w:color w:val="000000"/>
          <w:sz w:val="28"/>
          <w:szCs w:val="28"/>
          <w:highlight w:val="yellow"/>
          <w:shd w:val="clear" w:color="auto" w:fill="FFFFFF"/>
        </w:rPr>
        <w:t>Ограничения исследования</w:t>
      </w:r>
    </w:p>
    <w:p w14:paraId="2B312F0B" w14:textId="3A9C79FC" w:rsidR="007030F6" w:rsidRPr="00A020B9" w:rsidRDefault="007030F6" w:rsidP="00450B55">
      <w:pPr>
        <w:spacing w:line="480" w:lineRule="auto"/>
        <w:ind w:firstLine="708"/>
        <w:contextualSpacing/>
        <w:jc w:val="both"/>
        <w:rPr>
          <w:rFonts w:ascii="Times New Roman" w:hAnsi="Times New Roman" w:cs="Times New Roman"/>
          <w:sz w:val="28"/>
          <w:szCs w:val="28"/>
          <w:highlight w:val="yellow"/>
        </w:rPr>
      </w:pPr>
      <w:r w:rsidRPr="00A020B9">
        <w:rPr>
          <w:rFonts w:ascii="Times New Roman" w:hAnsi="Times New Roman" w:cs="Times New Roman"/>
          <w:sz w:val="28"/>
          <w:szCs w:val="28"/>
          <w:highlight w:val="yellow"/>
        </w:rPr>
        <w:t>В крупном межцентровом исследовании показано, что нормализация данных снижает межлабораторную вариацию данных [</w:t>
      </w:r>
      <w:r w:rsidRPr="00A020B9">
        <w:rPr>
          <w:rFonts w:ascii="Times New Roman" w:hAnsi="Times New Roman" w:cs="Times New Roman"/>
          <w:sz w:val="28"/>
          <w:szCs w:val="28"/>
          <w:highlight w:val="yellow"/>
        </w:rPr>
        <w:fldChar w:fldCharType="begin"/>
      </w:r>
      <w:r w:rsidRPr="00A020B9">
        <w:rPr>
          <w:rFonts w:ascii="Times New Roman" w:hAnsi="Times New Roman" w:cs="Times New Roman"/>
          <w:sz w:val="28"/>
          <w:szCs w:val="28"/>
          <w:highlight w:val="yellow"/>
        </w:rPr>
        <w:instrText xml:space="preserve"> ADDIN ZOTERO_ITEM CSL_CITATION {"citationID":"GiaIgoyi","properties":{"formattedCitation":"(18)","plainCitation":"(18)","noteIndex":0},"citationItems":[{"id":"MkePDU5i/GKZefMZq","uris":["http://zotero.org/users/4535407/items/WG7YEJBT"],"itemData":{"id":873,"type":"article-journal","abstract":"The thrombin generation test (TGT) has demonstrated utility in evaluating overall hemostatic capacity both in bleeding and thrombotic disorders. Although the test is currently well accepted as a research tool, its role in clinical practice has not yet been defined through large prospective multicenter clinical studies. Such prospective studies have been limited by the lack of official standardization of the assay and its large inter-laboratory variability. This international study assessed the intra- and inter-assay imprecision of TGT as well as the inter-centre variability of results in one US and four European centres. Contact-inhibited plasmas from six healthy volunteers, one mild haemophilia A patient, and five patients with heterozygous prothrombin G20210 mutation were assayed. We demonstrated that, using identical equipement, standardized reagents, a carefully selected reference plasma for normalization of results and the same test procedure as described in our DVD, the assay variability was highly reduced compared to previously published data. Our results emphasize the importance of preheating on TGT results and the variability of the assay. In conclusion, our data demonstrated that the standardized TGT methodology evaluated in this study effectively reduces the variability of the assay to acceptable limits and may be used in clinical trials.","container-title":"Thrombosis Research","DOI":"10.1016/j.thromres.2012.07.017","ISSN":"1879-2472","issue":"6","journalAbbreviation":"Thromb Res","language":"eng","note":"PMID: 22909826","page":"929-934","source":"PubMed","title":"Evaluation of a standardized protocol for thrombin generation measurement using the calibrated automated thrombogram: an international multicentre study","title-short":"Evaluation of a standardized protocol for thrombin generation measurement using the calibrated automated thrombogram","volume":"130","author":[{"family":"Dargaud","given":"Yesim"},{"family":"Wolberg","given":"Alisa S."},{"family":"Luddington","given":"Roger"},{"family":"Regnault","given":"Veronique"},{"family":"Spronk","given":"Henri"},{"family":"Baglin","given":"Trevor"},{"family":"Lecompte","given":"Thomas"},{"family":"Ten Cate","given":"Hugo"},{"family":"Negrier","given":"Claude"}],"issued":{"date-parts":[["2012",12]]}}}],"schema":"https://github.com/citation-style-language/schema/raw/master/csl-citation.json"} </w:instrText>
      </w:r>
      <w:r w:rsidRPr="00A020B9">
        <w:rPr>
          <w:rFonts w:ascii="Times New Roman" w:hAnsi="Times New Roman" w:cs="Times New Roman"/>
          <w:sz w:val="28"/>
          <w:szCs w:val="28"/>
          <w:highlight w:val="yellow"/>
        </w:rPr>
        <w:fldChar w:fldCharType="separate"/>
      </w:r>
      <w:r w:rsidR="003C5E0A" w:rsidRPr="003C5E0A">
        <w:rPr>
          <w:rFonts w:ascii="Times New Roman" w:hAnsi="Times New Roman" w:cs="Times New Roman"/>
          <w:sz w:val="28"/>
          <w:highlight w:val="yellow"/>
        </w:rPr>
        <w:t>23</w:t>
      </w:r>
      <w:r w:rsidRPr="00A020B9">
        <w:rPr>
          <w:rFonts w:ascii="Times New Roman" w:hAnsi="Times New Roman" w:cs="Times New Roman"/>
          <w:sz w:val="28"/>
          <w:highlight w:val="yellow"/>
        </w:rPr>
        <w:t>]</w:t>
      </w:r>
      <w:r w:rsidRPr="00A020B9">
        <w:rPr>
          <w:rFonts w:ascii="Times New Roman" w:hAnsi="Times New Roman" w:cs="Times New Roman"/>
          <w:sz w:val="28"/>
          <w:szCs w:val="28"/>
          <w:highlight w:val="yellow"/>
        </w:rPr>
        <w:fldChar w:fldCharType="end"/>
      </w:r>
      <w:r w:rsidRPr="00A020B9">
        <w:rPr>
          <w:rFonts w:ascii="Times New Roman" w:hAnsi="Times New Roman" w:cs="Times New Roman"/>
          <w:sz w:val="28"/>
          <w:szCs w:val="28"/>
          <w:highlight w:val="yellow"/>
        </w:rPr>
        <w:t xml:space="preserve">, однако в настоящем исследовании мы не получили достоверных изменений </w:t>
      </w:r>
      <w:r w:rsidR="00A42275" w:rsidRPr="00A020B9">
        <w:rPr>
          <w:rFonts w:ascii="Times New Roman" w:hAnsi="Times New Roman" w:cs="Times New Roman"/>
          <w:sz w:val="28"/>
          <w:szCs w:val="28"/>
          <w:highlight w:val="yellow"/>
          <w:lang w:val="en-US"/>
        </w:rPr>
        <w:t>CVG</w:t>
      </w:r>
      <w:r w:rsidRPr="00A020B9">
        <w:rPr>
          <w:rFonts w:ascii="Times New Roman" w:hAnsi="Times New Roman" w:cs="Times New Roman"/>
          <w:sz w:val="28"/>
          <w:szCs w:val="28"/>
          <w:highlight w:val="yellow"/>
        </w:rPr>
        <w:t xml:space="preserve"> при нормализации данных ТГТ, выполненных </w:t>
      </w:r>
      <w:r w:rsidR="00877B21" w:rsidRPr="00A020B9">
        <w:rPr>
          <w:rFonts w:ascii="Times New Roman" w:hAnsi="Times New Roman" w:cs="Times New Roman"/>
          <w:sz w:val="28"/>
          <w:szCs w:val="28"/>
          <w:highlight w:val="yellow"/>
        </w:rPr>
        <w:t>Технологии 1</w:t>
      </w:r>
      <w:r w:rsidRPr="00A020B9">
        <w:rPr>
          <w:rFonts w:ascii="Times New Roman" w:hAnsi="Times New Roman" w:cs="Times New Roman"/>
          <w:sz w:val="28"/>
          <w:szCs w:val="28"/>
          <w:highlight w:val="yellow"/>
        </w:rPr>
        <w:t xml:space="preserve">. </w:t>
      </w:r>
      <w:r w:rsidR="00A42275" w:rsidRPr="00A020B9">
        <w:rPr>
          <w:rFonts w:ascii="Times New Roman" w:hAnsi="Times New Roman" w:cs="Times New Roman"/>
          <w:sz w:val="28"/>
          <w:szCs w:val="28"/>
          <w:highlight w:val="yellow"/>
          <w:lang w:val="en-US"/>
        </w:rPr>
        <w:t>CVG</w:t>
      </w:r>
      <w:r w:rsidRPr="00A020B9">
        <w:rPr>
          <w:rFonts w:ascii="Times New Roman" w:hAnsi="Times New Roman" w:cs="Times New Roman"/>
          <w:sz w:val="28"/>
          <w:szCs w:val="28"/>
          <w:highlight w:val="yellow"/>
        </w:rPr>
        <w:t xml:space="preserve"> некоторых параметров ТГТ </w:t>
      </w:r>
      <w:r w:rsidR="00877B21" w:rsidRPr="00A020B9">
        <w:rPr>
          <w:rFonts w:ascii="Times New Roman" w:hAnsi="Times New Roman" w:cs="Times New Roman"/>
          <w:sz w:val="28"/>
          <w:szCs w:val="28"/>
          <w:highlight w:val="yellow"/>
        </w:rPr>
        <w:t xml:space="preserve">в Технологии 2 </w:t>
      </w:r>
      <w:r w:rsidRPr="00A020B9">
        <w:rPr>
          <w:rFonts w:ascii="Times New Roman" w:hAnsi="Times New Roman" w:cs="Times New Roman"/>
          <w:sz w:val="28"/>
          <w:szCs w:val="28"/>
          <w:highlight w:val="yellow"/>
        </w:rPr>
        <w:t xml:space="preserve">снижался после нормализации. </w:t>
      </w:r>
    </w:p>
    <w:p w14:paraId="7E5A7EC4" w14:textId="3767189A" w:rsidR="007030F6" w:rsidRPr="00E82E69" w:rsidRDefault="00450B55" w:rsidP="00450B55">
      <w:pPr>
        <w:tabs>
          <w:tab w:val="left" w:pos="426"/>
        </w:tabs>
        <w:spacing w:line="480" w:lineRule="auto"/>
        <w:ind w:firstLine="708"/>
        <w:contextualSpacing/>
        <w:jc w:val="both"/>
        <w:rPr>
          <w:rFonts w:ascii="Times New Roman" w:hAnsi="Times New Roman" w:cs="Times New Roman"/>
          <w:sz w:val="28"/>
          <w:szCs w:val="28"/>
        </w:rPr>
      </w:pPr>
      <w:r w:rsidRPr="00A020B9">
        <w:rPr>
          <w:rFonts w:ascii="Times New Roman" w:hAnsi="Times New Roman" w:cs="Times New Roman"/>
          <w:sz w:val="28"/>
          <w:szCs w:val="28"/>
          <w:highlight w:val="yellow"/>
        </w:rPr>
        <w:t xml:space="preserve">Для уменьшения вариации данных ТГТ рекомендуется использовать эталонную лиофилизированную контрольную плазму. </w:t>
      </w:r>
      <w:r w:rsidR="007030F6" w:rsidRPr="00A020B9">
        <w:rPr>
          <w:rFonts w:ascii="Times New Roman" w:hAnsi="Times New Roman" w:cs="Times New Roman"/>
          <w:sz w:val="28"/>
          <w:szCs w:val="28"/>
          <w:highlight w:val="yellow"/>
        </w:rPr>
        <w:t xml:space="preserve">В </w:t>
      </w:r>
      <w:r w:rsidRPr="00A020B9">
        <w:rPr>
          <w:rFonts w:ascii="Times New Roman" w:hAnsi="Times New Roman" w:cs="Times New Roman"/>
          <w:sz w:val="28"/>
          <w:szCs w:val="28"/>
          <w:highlight w:val="yellow"/>
        </w:rPr>
        <w:t>нашем</w:t>
      </w:r>
      <w:r w:rsidR="007030F6" w:rsidRPr="00A020B9">
        <w:rPr>
          <w:rFonts w:ascii="Times New Roman" w:hAnsi="Times New Roman" w:cs="Times New Roman"/>
          <w:sz w:val="28"/>
          <w:szCs w:val="28"/>
          <w:highlight w:val="yellow"/>
        </w:rPr>
        <w:t xml:space="preserve"> исследовании применялась локальная референсная плазма</w:t>
      </w:r>
      <w:r w:rsidRPr="00A020B9">
        <w:rPr>
          <w:rFonts w:ascii="Times New Roman" w:hAnsi="Times New Roman" w:cs="Times New Roman"/>
          <w:sz w:val="28"/>
          <w:szCs w:val="28"/>
          <w:highlight w:val="yellow"/>
        </w:rPr>
        <w:t>. Ранее</w:t>
      </w:r>
      <w:r w:rsidR="00877B21" w:rsidRPr="00A020B9">
        <w:rPr>
          <w:rFonts w:ascii="Times New Roman" w:hAnsi="Times New Roman" w:cs="Times New Roman"/>
          <w:sz w:val="28"/>
          <w:szCs w:val="28"/>
          <w:highlight w:val="yellow"/>
        </w:rPr>
        <w:t xml:space="preserve"> </w:t>
      </w:r>
      <w:r w:rsidRPr="00A020B9">
        <w:rPr>
          <w:rFonts w:ascii="Times New Roman" w:hAnsi="Times New Roman" w:cs="Times New Roman"/>
          <w:sz w:val="28"/>
          <w:szCs w:val="28"/>
          <w:highlight w:val="yellow"/>
        </w:rPr>
        <w:t xml:space="preserve">было показано, что вариации результатов </w:t>
      </w:r>
      <w:r w:rsidR="007030F6" w:rsidRPr="00A020B9">
        <w:rPr>
          <w:rFonts w:ascii="Times New Roman" w:hAnsi="Times New Roman" w:cs="Times New Roman"/>
          <w:sz w:val="28"/>
          <w:szCs w:val="28"/>
          <w:highlight w:val="yellow"/>
        </w:rPr>
        <w:t xml:space="preserve">не уменьшается при использовании </w:t>
      </w:r>
      <w:r w:rsidRPr="00A020B9">
        <w:rPr>
          <w:rFonts w:ascii="Times New Roman" w:hAnsi="Times New Roman" w:cs="Times New Roman"/>
          <w:sz w:val="28"/>
          <w:szCs w:val="28"/>
          <w:highlight w:val="yellow"/>
        </w:rPr>
        <w:t>локальной</w:t>
      </w:r>
      <w:r w:rsidR="007030F6" w:rsidRPr="00A020B9">
        <w:rPr>
          <w:rFonts w:ascii="Times New Roman" w:hAnsi="Times New Roman" w:cs="Times New Roman"/>
          <w:sz w:val="28"/>
          <w:szCs w:val="28"/>
          <w:highlight w:val="yellow"/>
        </w:rPr>
        <w:t xml:space="preserve"> референсной плазмы, </w:t>
      </w:r>
      <w:r w:rsidRPr="00A020B9">
        <w:rPr>
          <w:rFonts w:ascii="Times New Roman" w:hAnsi="Times New Roman" w:cs="Times New Roman"/>
          <w:sz w:val="28"/>
          <w:szCs w:val="28"/>
          <w:highlight w:val="yellow"/>
        </w:rPr>
        <w:t>но</w:t>
      </w:r>
      <w:r w:rsidR="007030F6" w:rsidRPr="00A020B9">
        <w:rPr>
          <w:rFonts w:ascii="Times New Roman" w:hAnsi="Times New Roman" w:cs="Times New Roman"/>
          <w:sz w:val="28"/>
          <w:szCs w:val="28"/>
          <w:highlight w:val="yellow"/>
        </w:rPr>
        <w:t xml:space="preserve"> может </w:t>
      </w:r>
      <w:r w:rsidRPr="00A020B9">
        <w:rPr>
          <w:rFonts w:ascii="Times New Roman" w:hAnsi="Times New Roman" w:cs="Times New Roman"/>
          <w:sz w:val="28"/>
          <w:szCs w:val="28"/>
          <w:highlight w:val="yellow"/>
        </w:rPr>
        <w:t>снижаться</w:t>
      </w:r>
      <w:r w:rsidR="007030F6" w:rsidRPr="00A020B9">
        <w:rPr>
          <w:rFonts w:ascii="Times New Roman" w:hAnsi="Times New Roman" w:cs="Times New Roman"/>
          <w:sz w:val="28"/>
          <w:szCs w:val="28"/>
          <w:highlight w:val="yellow"/>
        </w:rPr>
        <w:t xml:space="preserve"> при использовании </w:t>
      </w:r>
      <w:r w:rsidRPr="00A020B9">
        <w:rPr>
          <w:rFonts w:ascii="Times New Roman" w:hAnsi="Times New Roman" w:cs="Times New Roman"/>
          <w:sz w:val="28"/>
          <w:szCs w:val="28"/>
          <w:highlight w:val="yellow"/>
        </w:rPr>
        <w:t>референсной плазмы от производителя</w:t>
      </w:r>
      <w:r w:rsidR="007030F6" w:rsidRPr="00A020B9">
        <w:rPr>
          <w:rFonts w:ascii="Times New Roman" w:hAnsi="Times New Roman" w:cs="Times New Roman"/>
          <w:sz w:val="28"/>
          <w:szCs w:val="28"/>
          <w:highlight w:val="yellow"/>
        </w:rPr>
        <w:t xml:space="preserve"> </w:t>
      </w:r>
      <w:r w:rsidR="007030F6" w:rsidRPr="00A020B9">
        <w:rPr>
          <w:rFonts w:ascii="Times New Roman" w:hAnsi="Times New Roman" w:cs="Times New Roman"/>
          <w:sz w:val="28"/>
          <w:szCs w:val="28"/>
          <w:highlight w:val="yellow"/>
        </w:rPr>
        <w:fldChar w:fldCharType="begin"/>
      </w:r>
      <w:r w:rsidR="007030F6" w:rsidRPr="00A020B9">
        <w:rPr>
          <w:rFonts w:ascii="Times New Roman" w:hAnsi="Times New Roman" w:cs="Times New Roman"/>
          <w:sz w:val="28"/>
          <w:szCs w:val="28"/>
          <w:highlight w:val="yellow"/>
        </w:rPr>
        <w:instrText xml:space="preserve"> ADDIN ZOTERO_ITEM CSL_CITATION {"citationID":"FNN8IoDy","properties":{"formattedCitation":"(9)","plainCitation":"(9)","noteIndex":0},"citationItems":[{"id":"MkePDU5i/8bt3Msps","uris":["http://zotero.org/groups/4391357/items/ZBMZN8AK"],"itemData":{"id":837,"type":"article-journal","abstract":"BACKGROUND: Calibrated Automated Thrombography (CAT) has been widely used to assess in vitro thrombin generation as an informative intermediary phenotype of coagulation. Interlaboratory exercises have documented a worrisome poor reproducibility. There are some data on the normalisation with an appropriate external reference plasma (RP). This multicentre study of the French-speaking CAT Club aimed at providing further evidence for the usefulness of such a normalisation.\nMATERIALS AND METHODS: Lyophilised aliquots of a RP along with 3 plasmas (P1=normal; P2=hypo-; P3=hypercoagulable) were sent to 34 laboratories (corresponding to 38 instruments). CAT was studied using 1 and 5 pM tissue factor and other dedicated reagents. Normalisation with the local RP in use in the laboratory could also be performed. Interlaboratory CVs were calculated for each plasma before and after normalisation.\nRESULTS: Regarding endogenous thrombin potential, a good discrimination between the 3 plasmas was achieved in all laboratories but there was no overlap after normalisation only. CVs were generally not reduced with the use of local RP but were generally improved with normalisation using the external RP, often becoming lower than 10%. Regarding P2 however, the benefit of normalisation was poor, and there were analytical difficulties as well, some laboratories being unable to get a useable signal.\nCONCLUSIONS: We confirm that normalisation of CAT results with a suitable external RP is useful in \"real life\" practice as it often permits an acceptable level of interlaboratory variability. In case of frank hypocoagulability, further improvements are required to get reliable, potentially clinically relevant results.","container-title":"Thrombosis Research","DOI":"10.1016/j.thromres.2014.12.015","ISSN":"1879-2472","issue":"1","journalAbbreviation":"Thromb Res","language":"eng","note":"PMID: 25563679","page":"125-130","source":"PubMed","title":"Large external quality assessment survey on thrombin generation with CAT: further evidence for the usefulness of normalisation with an external reference plasma","title-short":"Large external quality assessment survey on thrombin generation with CAT","volume":"136","author":[{"family":"Perrin","given":"Julien"},{"family":"Depasse","given":"François"},{"family":"Lecompte","given":"Thomas"},{"literal":"French-speaking CAT group and under the aegis of GEHT"},{"literal":"French-speaking CAT group (all in France unless otherwise stated):"},{"literal":"French-speaking CAT group all in France unless otherwise stated"}],"issued":{"date-parts":[["2015",7]]}}}],"schema":"https://github.com/citation-style-language/schema/raw/master/csl-citation.json"} </w:instrText>
      </w:r>
      <w:r w:rsidR="007030F6" w:rsidRPr="00A020B9">
        <w:rPr>
          <w:rFonts w:ascii="Times New Roman" w:hAnsi="Times New Roman" w:cs="Times New Roman"/>
          <w:sz w:val="28"/>
          <w:szCs w:val="28"/>
          <w:highlight w:val="yellow"/>
        </w:rPr>
        <w:fldChar w:fldCharType="separate"/>
      </w:r>
      <w:r w:rsidR="007030F6" w:rsidRPr="00A020B9">
        <w:rPr>
          <w:rFonts w:ascii="Times New Roman" w:hAnsi="Times New Roman" w:cs="Times New Roman"/>
          <w:sz w:val="28"/>
          <w:szCs w:val="28"/>
          <w:highlight w:val="yellow"/>
        </w:rPr>
        <w:t>[9]</w:t>
      </w:r>
      <w:r w:rsidR="007030F6" w:rsidRPr="00A020B9">
        <w:rPr>
          <w:rFonts w:ascii="Times New Roman" w:hAnsi="Times New Roman" w:cs="Times New Roman"/>
          <w:sz w:val="28"/>
          <w:szCs w:val="28"/>
          <w:highlight w:val="yellow"/>
        </w:rPr>
        <w:fldChar w:fldCharType="end"/>
      </w:r>
      <w:r w:rsidR="007030F6" w:rsidRPr="00A020B9">
        <w:rPr>
          <w:rFonts w:ascii="Times New Roman" w:hAnsi="Times New Roman" w:cs="Times New Roman"/>
          <w:sz w:val="28"/>
          <w:szCs w:val="28"/>
          <w:highlight w:val="yellow"/>
        </w:rPr>
        <w:t xml:space="preserve">. </w:t>
      </w:r>
      <w:r w:rsidRPr="00A020B9">
        <w:rPr>
          <w:rFonts w:ascii="Times New Roman" w:hAnsi="Times New Roman" w:cs="Times New Roman"/>
          <w:sz w:val="28"/>
          <w:szCs w:val="28"/>
          <w:highlight w:val="yellow"/>
        </w:rPr>
        <w:t>Использование локальной референсной плазмы является ограничением исследования.</w:t>
      </w:r>
      <w:r w:rsidR="00A020B9">
        <w:rPr>
          <w:rFonts w:ascii="Times New Roman" w:hAnsi="Times New Roman" w:cs="Times New Roman"/>
          <w:sz w:val="28"/>
          <w:szCs w:val="28"/>
        </w:rPr>
        <w:t xml:space="preserve"> </w:t>
      </w:r>
      <w:r w:rsidR="00A020B9" w:rsidRPr="006419DC">
        <w:rPr>
          <w:rFonts w:ascii="Times New Roman" w:hAnsi="Times New Roman" w:cs="Times New Roman"/>
          <w:sz w:val="28"/>
          <w:szCs w:val="28"/>
          <w:highlight w:val="yellow"/>
        </w:rPr>
        <w:t>Для разработки РИ необходима выборка пациентов более 120 человек, в настоящем исследовании выборка составила 20 человек, что также является ограничением работы.</w:t>
      </w:r>
    </w:p>
    <w:p w14:paraId="2CA23257" w14:textId="54F4D821" w:rsidR="00903910" w:rsidRPr="00736056" w:rsidRDefault="00903910" w:rsidP="00367D16">
      <w:pPr>
        <w:spacing w:after="0" w:line="480" w:lineRule="auto"/>
        <w:contextualSpacing/>
        <w:jc w:val="both"/>
        <w:rPr>
          <w:rFonts w:ascii="Times New Roman" w:hAnsi="Times New Roman" w:cs="Times New Roman"/>
          <w:b/>
          <w:sz w:val="28"/>
          <w:szCs w:val="28"/>
        </w:rPr>
      </w:pPr>
      <w:r w:rsidRPr="00B1452F">
        <w:rPr>
          <w:rFonts w:ascii="Times New Roman" w:hAnsi="Times New Roman" w:cs="Times New Roman"/>
          <w:sz w:val="28"/>
          <w:szCs w:val="28"/>
        </w:rPr>
        <w:tab/>
      </w:r>
      <w:r w:rsidRPr="00736056">
        <w:rPr>
          <w:rFonts w:ascii="Times New Roman" w:hAnsi="Times New Roman" w:cs="Times New Roman"/>
          <w:b/>
          <w:sz w:val="28"/>
          <w:szCs w:val="28"/>
        </w:rPr>
        <w:t>Заключение</w:t>
      </w:r>
    </w:p>
    <w:p w14:paraId="25CCE7C2" w14:textId="0096539D" w:rsidR="00450B55" w:rsidRPr="00450B55" w:rsidRDefault="00EF640F" w:rsidP="00367D16">
      <w:pPr>
        <w:spacing w:line="480" w:lineRule="auto"/>
        <w:ind w:firstLine="708"/>
        <w:contextualSpacing/>
        <w:jc w:val="both"/>
        <w:rPr>
          <w:rFonts w:ascii="Times New Roman" w:eastAsia="Times New Roman" w:hAnsi="Times New Roman" w:cs="Times New Roman"/>
          <w:sz w:val="28"/>
          <w:szCs w:val="28"/>
          <w:lang w:eastAsia="ru-RU"/>
        </w:rPr>
      </w:pPr>
      <w:r w:rsidRPr="00450B55">
        <w:rPr>
          <w:rFonts w:ascii="Times New Roman" w:eastAsia="Times New Roman" w:hAnsi="Times New Roman" w:cs="Times New Roman"/>
          <w:sz w:val="28"/>
          <w:szCs w:val="28"/>
          <w:lang w:eastAsia="ru-RU"/>
        </w:rPr>
        <w:t>В настоящее время внедрение методики измерения ГТ в клиническую практику</w:t>
      </w:r>
      <w:r w:rsidR="007718F5" w:rsidRPr="00450B55">
        <w:rPr>
          <w:rFonts w:ascii="Times New Roman" w:eastAsia="Times New Roman" w:hAnsi="Times New Roman" w:cs="Times New Roman"/>
          <w:sz w:val="28"/>
          <w:szCs w:val="28"/>
          <w:lang w:eastAsia="ru-RU"/>
        </w:rPr>
        <w:t xml:space="preserve"> востребовано, но</w:t>
      </w:r>
      <w:r w:rsidRPr="00450B55">
        <w:rPr>
          <w:rFonts w:ascii="Times New Roman" w:eastAsia="Times New Roman" w:hAnsi="Times New Roman" w:cs="Times New Roman"/>
          <w:sz w:val="28"/>
          <w:szCs w:val="28"/>
          <w:lang w:eastAsia="ru-RU"/>
        </w:rPr>
        <w:t xml:space="preserve"> </w:t>
      </w:r>
      <w:r w:rsidR="007718F5" w:rsidRPr="00450B55">
        <w:rPr>
          <w:rFonts w:ascii="Times New Roman" w:eastAsia="Times New Roman" w:hAnsi="Times New Roman" w:cs="Times New Roman"/>
          <w:sz w:val="28"/>
          <w:szCs w:val="28"/>
          <w:lang w:eastAsia="ru-RU"/>
        </w:rPr>
        <w:t>ограни</w:t>
      </w:r>
      <w:r w:rsidR="00871B11" w:rsidRPr="006F6CCC">
        <w:rPr>
          <w:rFonts w:ascii="Times New Roman" w:eastAsia="Times New Roman" w:hAnsi="Times New Roman" w:cs="Times New Roman"/>
          <w:sz w:val="28"/>
          <w:szCs w:val="28"/>
          <w:lang w:eastAsia="ru-RU"/>
        </w:rPr>
        <w:t>чи</w:t>
      </w:r>
      <w:r w:rsidR="007718F5" w:rsidRPr="006F6CCC">
        <w:rPr>
          <w:rFonts w:ascii="Times New Roman" w:eastAsia="Times New Roman" w:hAnsi="Times New Roman" w:cs="Times New Roman"/>
          <w:sz w:val="28"/>
          <w:szCs w:val="28"/>
          <w:lang w:eastAsia="ru-RU"/>
        </w:rPr>
        <w:t>в</w:t>
      </w:r>
      <w:r w:rsidR="007718F5" w:rsidRPr="00450B55">
        <w:rPr>
          <w:rFonts w:ascii="Times New Roman" w:eastAsia="Times New Roman" w:hAnsi="Times New Roman" w:cs="Times New Roman"/>
          <w:sz w:val="28"/>
          <w:szCs w:val="28"/>
          <w:lang w:eastAsia="ru-RU"/>
        </w:rPr>
        <w:t xml:space="preserve">ается </w:t>
      </w:r>
      <w:r w:rsidRPr="00450B55">
        <w:rPr>
          <w:rFonts w:ascii="Times New Roman" w:eastAsia="Times New Roman" w:hAnsi="Times New Roman" w:cs="Times New Roman"/>
          <w:sz w:val="28"/>
          <w:szCs w:val="28"/>
          <w:lang w:eastAsia="ru-RU"/>
        </w:rPr>
        <w:t xml:space="preserve">из-за отсутствия единых </w:t>
      </w:r>
      <w:r w:rsidRPr="00450B55">
        <w:rPr>
          <w:rFonts w:ascii="Times New Roman" w:eastAsia="Times New Roman" w:hAnsi="Times New Roman" w:cs="Times New Roman"/>
          <w:sz w:val="28"/>
          <w:szCs w:val="28"/>
          <w:lang w:eastAsia="ru-RU"/>
        </w:rPr>
        <w:lastRenderedPageBreak/>
        <w:t xml:space="preserve">рекомендаций по стандартизации </w:t>
      </w:r>
      <w:r w:rsidR="00B57EAB" w:rsidRPr="00450B55">
        <w:rPr>
          <w:rFonts w:ascii="Times New Roman" w:eastAsia="Times New Roman" w:hAnsi="Times New Roman" w:cs="Times New Roman"/>
          <w:sz w:val="28"/>
          <w:szCs w:val="28"/>
          <w:lang w:eastAsia="ru-RU"/>
        </w:rPr>
        <w:t xml:space="preserve">преаналитического этапа и </w:t>
      </w:r>
      <w:r w:rsidR="00367D16" w:rsidRPr="00450B55">
        <w:rPr>
          <w:rFonts w:ascii="Times New Roman" w:eastAsia="Times New Roman" w:hAnsi="Times New Roman" w:cs="Times New Roman"/>
          <w:sz w:val="28"/>
          <w:szCs w:val="28"/>
          <w:lang w:eastAsia="ru-RU"/>
        </w:rPr>
        <w:t>вариабе</w:t>
      </w:r>
      <w:r w:rsidR="007718F5" w:rsidRPr="00450B55">
        <w:rPr>
          <w:rFonts w:ascii="Times New Roman" w:eastAsia="Times New Roman" w:hAnsi="Times New Roman" w:cs="Times New Roman"/>
          <w:sz w:val="28"/>
          <w:szCs w:val="28"/>
          <w:lang w:eastAsia="ru-RU"/>
        </w:rPr>
        <w:t xml:space="preserve">льности </w:t>
      </w:r>
      <w:r w:rsidR="00B57EAB" w:rsidRPr="00450B55">
        <w:rPr>
          <w:rFonts w:ascii="Times New Roman" w:eastAsia="Times New Roman" w:hAnsi="Times New Roman" w:cs="Times New Roman"/>
          <w:sz w:val="28"/>
          <w:szCs w:val="28"/>
          <w:lang w:eastAsia="ru-RU"/>
        </w:rPr>
        <w:t xml:space="preserve">протоколов проведения теста </w:t>
      </w:r>
      <w:r w:rsidR="007718F5" w:rsidRPr="00450B55">
        <w:rPr>
          <w:rFonts w:ascii="Times New Roman" w:eastAsia="Times New Roman" w:hAnsi="Times New Roman" w:cs="Times New Roman"/>
          <w:sz w:val="28"/>
          <w:szCs w:val="28"/>
          <w:lang w:eastAsia="ru-RU"/>
        </w:rPr>
        <w:t xml:space="preserve">в </w:t>
      </w:r>
      <w:r w:rsidR="00B57EAB" w:rsidRPr="00450B55">
        <w:rPr>
          <w:rFonts w:ascii="Times New Roman" w:eastAsia="Times New Roman" w:hAnsi="Times New Roman" w:cs="Times New Roman"/>
          <w:sz w:val="28"/>
          <w:szCs w:val="28"/>
          <w:lang w:eastAsia="ru-RU"/>
        </w:rPr>
        <w:t>разных лаборатори</w:t>
      </w:r>
      <w:r w:rsidR="007718F5" w:rsidRPr="00450B55">
        <w:rPr>
          <w:rFonts w:ascii="Times New Roman" w:eastAsia="Times New Roman" w:hAnsi="Times New Roman" w:cs="Times New Roman"/>
          <w:sz w:val="28"/>
          <w:szCs w:val="28"/>
          <w:lang w:eastAsia="ru-RU"/>
        </w:rPr>
        <w:t>ях</w:t>
      </w:r>
      <w:r w:rsidRPr="00450B55">
        <w:rPr>
          <w:rFonts w:ascii="Times New Roman" w:eastAsia="Times New Roman" w:hAnsi="Times New Roman" w:cs="Times New Roman"/>
          <w:sz w:val="28"/>
          <w:szCs w:val="28"/>
          <w:lang w:eastAsia="ru-RU"/>
        </w:rPr>
        <w:t xml:space="preserve">. </w:t>
      </w:r>
    </w:p>
    <w:p w14:paraId="3801088F" w14:textId="38EBD303" w:rsidR="00450B55" w:rsidRDefault="009445B8" w:rsidP="00367D16">
      <w:pPr>
        <w:spacing w:line="480" w:lineRule="auto"/>
        <w:ind w:firstLine="708"/>
        <w:contextualSpacing/>
        <w:jc w:val="both"/>
        <w:rPr>
          <w:rFonts w:ascii="Times New Roman" w:hAnsi="Times New Roman" w:cs="Times New Roman"/>
          <w:color w:val="000000"/>
          <w:sz w:val="28"/>
          <w:szCs w:val="28"/>
          <w:shd w:val="clear" w:color="auto" w:fill="FFFFFF"/>
        </w:rPr>
      </w:pPr>
      <w:r w:rsidRPr="000D6A70">
        <w:rPr>
          <w:rFonts w:ascii="Times New Roman" w:hAnsi="Times New Roman" w:cs="Times New Roman"/>
          <w:color w:val="000000"/>
          <w:sz w:val="28"/>
          <w:szCs w:val="28"/>
          <w:shd w:val="clear" w:color="auto" w:fill="FFFFFF"/>
        </w:rPr>
        <w:t>Сравнение двух лабораторных</w:t>
      </w:r>
      <w:r w:rsidR="006968D3" w:rsidRPr="000D6A70">
        <w:rPr>
          <w:rFonts w:ascii="Times New Roman" w:hAnsi="Times New Roman" w:cs="Times New Roman"/>
          <w:color w:val="000000"/>
          <w:sz w:val="28"/>
          <w:szCs w:val="28"/>
          <w:shd w:val="clear" w:color="auto" w:fill="FFFFFF"/>
        </w:rPr>
        <w:t xml:space="preserve"> технологий ТГТ демонстрирует</w:t>
      </w:r>
      <w:r w:rsidR="00450B55" w:rsidRPr="000D6A70">
        <w:rPr>
          <w:rFonts w:ascii="Times New Roman" w:hAnsi="Times New Roman" w:cs="Times New Roman"/>
          <w:color w:val="000000"/>
          <w:sz w:val="28"/>
          <w:szCs w:val="28"/>
          <w:shd w:val="clear" w:color="auto" w:fill="FFFFFF"/>
        </w:rPr>
        <w:t xml:space="preserve"> высокие </w:t>
      </w:r>
      <w:r w:rsidR="006968D3" w:rsidRPr="000D6A70">
        <w:rPr>
          <w:rFonts w:ascii="Times New Roman" w:hAnsi="Times New Roman" w:cs="Times New Roman"/>
          <w:color w:val="000000"/>
          <w:sz w:val="28"/>
          <w:szCs w:val="28"/>
          <w:shd w:val="clear" w:color="auto" w:fill="FFFFFF"/>
        </w:rPr>
        <w:t xml:space="preserve">результаты межиндивидуальной вариации. </w:t>
      </w:r>
      <w:r w:rsidR="000D6A70" w:rsidRPr="000D6A70">
        <w:rPr>
          <w:rFonts w:ascii="Times New Roman" w:hAnsi="Times New Roman" w:cs="Times New Roman"/>
          <w:color w:val="000000"/>
          <w:sz w:val="28"/>
          <w:szCs w:val="28"/>
          <w:shd w:val="clear" w:color="auto" w:fill="FFFFFF"/>
        </w:rPr>
        <w:t xml:space="preserve">При этом </w:t>
      </w:r>
      <w:r w:rsidR="000D6A70" w:rsidRPr="000D6A70">
        <w:rPr>
          <w:rFonts w:ascii="Times New Roman" w:hAnsi="Times New Roman" w:cs="Times New Roman"/>
          <w:color w:val="000000"/>
          <w:sz w:val="28"/>
          <w:szCs w:val="28"/>
          <w:shd w:val="clear" w:color="auto" w:fill="FFFFFF"/>
          <w:lang w:val="en-US"/>
        </w:rPr>
        <w:t>CVG</w:t>
      </w:r>
      <w:r w:rsidR="000D6A70" w:rsidRPr="000D6A70">
        <w:rPr>
          <w:rFonts w:ascii="Times New Roman" w:hAnsi="Times New Roman" w:cs="Times New Roman"/>
          <w:color w:val="000000"/>
          <w:sz w:val="28"/>
          <w:szCs w:val="28"/>
          <w:shd w:val="clear" w:color="auto" w:fill="FFFFFF"/>
        </w:rPr>
        <w:t xml:space="preserve"> показателя ЕТР </w:t>
      </w:r>
      <w:r w:rsidR="00877B21">
        <w:rPr>
          <w:rFonts w:ascii="Times New Roman" w:hAnsi="Times New Roman" w:cs="Times New Roman"/>
          <w:color w:val="000000"/>
          <w:sz w:val="28"/>
          <w:szCs w:val="28"/>
          <w:shd w:val="clear" w:color="auto" w:fill="FFFFFF"/>
        </w:rPr>
        <w:t xml:space="preserve">в </w:t>
      </w:r>
      <w:r w:rsidR="00877B21">
        <w:rPr>
          <w:rFonts w:ascii="Times New Roman" w:hAnsi="Times New Roman" w:cs="Times New Roman"/>
          <w:sz w:val="28"/>
          <w:szCs w:val="28"/>
        </w:rPr>
        <w:t xml:space="preserve">Технологии 2 </w:t>
      </w:r>
      <w:r w:rsidR="00877B21">
        <w:rPr>
          <w:rFonts w:ascii="Times New Roman" w:hAnsi="Times New Roman" w:cs="Times New Roman"/>
          <w:color w:val="000000"/>
          <w:sz w:val="28"/>
          <w:szCs w:val="28"/>
          <w:shd w:val="clear" w:color="auto" w:fill="FFFFFF"/>
        </w:rPr>
        <w:t>в два раза ниже, чем в Т</w:t>
      </w:r>
      <w:r w:rsidR="000D6A70" w:rsidRPr="000D6A70">
        <w:rPr>
          <w:rFonts w:ascii="Times New Roman" w:hAnsi="Times New Roman" w:cs="Times New Roman"/>
          <w:color w:val="000000"/>
          <w:sz w:val="28"/>
          <w:szCs w:val="28"/>
          <w:shd w:val="clear" w:color="auto" w:fill="FFFFFF"/>
        </w:rPr>
        <w:t xml:space="preserve">ехнологии </w:t>
      </w:r>
      <w:r w:rsidR="00877B21">
        <w:rPr>
          <w:rFonts w:ascii="Times New Roman" w:hAnsi="Times New Roman" w:cs="Times New Roman"/>
          <w:color w:val="000000"/>
          <w:sz w:val="28"/>
          <w:szCs w:val="28"/>
          <w:shd w:val="clear" w:color="auto" w:fill="FFFFFF"/>
        </w:rPr>
        <w:t>1</w:t>
      </w:r>
      <w:r w:rsidR="000D6A70" w:rsidRPr="000D6A70">
        <w:rPr>
          <w:rFonts w:ascii="Times New Roman" w:hAnsi="Times New Roman" w:cs="Times New Roman"/>
          <w:color w:val="000000"/>
          <w:sz w:val="28"/>
          <w:szCs w:val="28"/>
          <w:shd w:val="clear" w:color="auto" w:fill="FFFFFF"/>
        </w:rPr>
        <w:t>.</w:t>
      </w:r>
    </w:p>
    <w:p w14:paraId="549C7097" w14:textId="668DE32A" w:rsidR="00736056" w:rsidRDefault="00736056" w:rsidP="00367D16">
      <w:pPr>
        <w:spacing w:line="480" w:lineRule="auto"/>
        <w:ind w:firstLine="708"/>
        <w:contextualSpacing/>
        <w:jc w:val="both"/>
        <w:rPr>
          <w:rFonts w:ascii="Times New Roman" w:hAnsi="Times New Roman" w:cs="Times New Roman"/>
          <w:color w:val="000000"/>
          <w:sz w:val="28"/>
          <w:szCs w:val="28"/>
          <w:shd w:val="clear" w:color="auto" w:fill="FFFFFF"/>
        </w:rPr>
      </w:pPr>
      <w:r w:rsidRPr="000D6A70">
        <w:rPr>
          <w:rFonts w:ascii="Times New Roman" w:hAnsi="Times New Roman" w:cs="Times New Roman"/>
          <w:color w:val="000000"/>
          <w:sz w:val="28"/>
          <w:szCs w:val="28"/>
          <w:shd w:val="clear" w:color="auto" w:fill="FFFFFF"/>
        </w:rPr>
        <w:t xml:space="preserve">Таким образом, параметры ТГТ индивидуальны и </w:t>
      </w:r>
      <w:r w:rsidR="008D6578">
        <w:rPr>
          <w:rFonts w:ascii="Times New Roman" w:hAnsi="Times New Roman" w:cs="Times New Roman"/>
          <w:color w:val="000000"/>
          <w:sz w:val="28"/>
          <w:szCs w:val="28"/>
          <w:shd w:val="clear" w:color="auto" w:fill="FFFFFF"/>
        </w:rPr>
        <w:t>использование</w:t>
      </w:r>
      <w:r w:rsidR="008D6578" w:rsidRPr="000D6A70">
        <w:rPr>
          <w:rFonts w:ascii="Times New Roman" w:hAnsi="Times New Roman" w:cs="Times New Roman"/>
          <w:color w:val="000000"/>
          <w:sz w:val="28"/>
          <w:szCs w:val="28"/>
          <w:shd w:val="clear" w:color="auto" w:fill="FFFFFF"/>
        </w:rPr>
        <w:t xml:space="preserve"> </w:t>
      </w:r>
      <w:r w:rsidRPr="000D6A70">
        <w:rPr>
          <w:rFonts w:ascii="Times New Roman" w:hAnsi="Times New Roman" w:cs="Times New Roman"/>
          <w:color w:val="000000"/>
          <w:sz w:val="28"/>
          <w:szCs w:val="28"/>
          <w:shd w:val="clear" w:color="auto" w:fill="FFFFFF"/>
        </w:rPr>
        <w:t>исследования в динамике для каждого конкретного индивида, вероятно, имеет большую информативность, чем применение РИ, полученных в общей популяции.</w:t>
      </w:r>
      <w:r w:rsidR="000D6A70" w:rsidRPr="000D6A70">
        <w:rPr>
          <w:rFonts w:ascii="Times New Roman" w:hAnsi="Times New Roman" w:cs="Times New Roman"/>
          <w:color w:val="000000"/>
          <w:sz w:val="28"/>
          <w:szCs w:val="28"/>
          <w:shd w:val="clear" w:color="auto" w:fill="FFFFFF"/>
        </w:rPr>
        <w:t xml:space="preserve"> Динамическое наблюдение за пациентом должно выполняться с применением одной и той же технологии.</w:t>
      </w:r>
    </w:p>
    <w:p w14:paraId="43FF7675" w14:textId="0851345A" w:rsidR="00F25E06" w:rsidRPr="006968C3" w:rsidRDefault="00F25E06" w:rsidP="00736056">
      <w:pPr>
        <w:spacing w:after="0" w:line="480" w:lineRule="auto"/>
        <w:ind w:firstLine="708"/>
        <w:contextualSpacing/>
        <w:jc w:val="both"/>
        <w:rPr>
          <w:rFonts w:ascii="Times New Roman" w:hAnsi="Times New Roman" w:cs="Times New Roman"/>
          <w:b/>
          <w:sz w:val="28"/>
          <w:szCs w:val="28"/>
        </w:rPr>
      </w:pPr>
      <w:r w:rsidRPr="006968C3">
        <w:rPr>
          <w:rFonts w:ascii="Times New Roman" w:hAnsi="Times New Roman" w:cs="Times New Roman"/>
          <w:b/>
          <w:sz w:val="28"/>
          <w:szCs w:val="28"/>
        </w:rPr>
        <w:t>Благодарности</w:t>
      </w:r>
    </w:p>
    <w:p w14:paraId="3A704630" w14:textId="627EDF89" w:rsidR="001E0024" w:rsidRPr="001E0024" w:rsidRDefault="001E0024" w:rsidP="0040071C">
      <w:pPr>
        <w:spacing w:line="480" w:lineRule="auto"/>
        <w:ind w:firstLine="708"/>
        <w:contextualSpacing/>
        <w:jc w:val="both"/>
        <w:rPr>
          <w:rFonts w:ascii="Times New Roman" w:hAnsi="Times New Roman" w:cs="Times New Roman"/>
          <w:sz w:val="28"/>
          <w:szCs w:val="28"/>
        </w:rPr>
      </w:pPr>
      <w:r w:rsidRPr="006968C3">
        <w:rPr>
          <w:rFonts w:ascii="Times New Roman" w:hAnsi="Times New Roman" w:cs="Times New Roman"/>
          <w:sz w:val="28"/>
          <w:szCs w:val="28"/>
        </w:rPr>
        <w:t xml:space="preserve">Выражаем благодарность </w:t>
      </w:r>
      <w:r w:rsidR="00CF28C0" w:rsidRPr="006968C3">
        <w:rPr>
          <w:rFonts w:ascii="Times New Roman" w:hAnsi="Times New Roman" w:cs="Times New Roman"/>
          <w:sz w:val="28"/>
          <w:szCs w:val="28"/>
        </w:rPr>
        <w:t>компании</w:t>
      </w:r>
      <w:r w:rsidRPr="006968C3">
        <w:rPr>
          <w:rFonts w:ascii="Times New Roman" w:hAnsi="Times New Roman" w:cs="Times New Roman"/>
          <w:sz w:val="28"/>
          <w:szCs w:val="28"/>
        </w:rPr>
        <w:t xml:space="preserve"> БиоХимМак за </w:t>
      </w:r>
      <w:r w:rsidR="006968D3" w:rsidRPr="006968C3">
        <w:rPr>
          <w:rFonts w:ascii="Times New Roman" w:hAnsi="Times New Roman" w:cs="Times New Roman"/>
          <w:sz w:val="28"/>
          <w:szCs w:val="28"/>
        </w:rPr>
        <w:t xml:space="preserve">предоставленную возможность выполнения исследования на автоматическом анализаторе </w:t>
      </w:r>
      <w:r w:rsidRPr="006968C3">
        <w:rPr>
          <w:rFonts w:ascii="Times New Roman" w:hAnsi="Times New Roman" w:cs="Times New Roman"/>
          <w:sz w:val="28"/>
          <w:szCs w:val="28"/>
          <w:lang w:val="en-US"/>
        </w:rPr>
        <w:t>Ceveron</w:t>
      </w:r>
      <w:r w:rsidRPr="006968C3">
        <w:rPr>
          <w:rFonts w:ascii="Times New Roman" w:hAnsi="Times New Roman" w:cs="Times New Roman"/>
          <w:sz w:val="28"/>
          <w:szCs w:val="28"/>
        </w:rPr>
        <w:t xml:space="preserve"> </w:t>
      </w:r>
      <w:r w:rsidRPr="006968C3">
        <w:rPr>
          <w:rFonts w:ascii="Times New Roman" w:hAnsi="Times New Roman" w:cs="Times New Roman"/>
          <w:sz w:val="28"/>
          <w:szCs w:val="28"/>
          <w:lang w:val="en-US"/>
        </w:rPr>
        <w:t>Alfa</w:t>
      </w:r>
      <w:r w:rsidRPr="006968C3">
        <w:rPr>
          <w:rFonts w:ascii="Times New Roman" w:hAnsi="Times New Roman" w:cs="Times New Roman"/>
          <w:sz w:val="28"/>
          <w:szCs w:val="28"/>
        </w:rPr>
        <w:t xml:space="preserve"> </w:t>
      </w:r>
      <w:r w:rsidRPr="006968C3">
        <w:rPr>
          <w:rFonts w:ascii="Times New Roman" w:hAnsi="Times New Roman" w:cs="Times New Roman"/>
          <w:sz w:val="28"/>
          <w:szCs w:val="28"/>
          <w:lang w:val="en-US"/>
        </w:rPr>
        <w:t>TGA</w:t>
      </w:r>
      <w:r w:rsidRPr="006968C3">
        <w:rPr>
          <w:rFonts w:ascii="Times New Roman" w:hAnsi="Times New Roman" w:cs="Times New Roman"/>
          <w:sz w:val="28"/>
          <w:szCs w:val="28"/>
        </w:rPr>
        <w:t>.</w:t>
      </w:r>
    </w:p>
    <w:p w14:paraId="0041778F" w14:textId="77777777" w:rsidR="001D3148" w:rsidRPr="001F7783" w:rsidRDefault="001D3148" w:rsidP="009445B8">
      <w:pPr>
        <w:spacing w:line="480" w:lineRule="auto"/>
        <w:ind w:firstLine="708"/>
        <w:contextualSpacing/>
        <w:jc w:val="both"/>
        <w:rPr>
          <w:rFonts w:ascii="Times New Roman" w:hAnsi="Times New Roman" w:cs="Times New Roman"/>
          <w:b/>
          <w:sz w:val="28"/>
          <w:szCs w:val="28"/>
        </w:rPr>
      </w:pPr>
      <w:r w:rsidRPr="00F3264E">
        <w:rPr>
          <w:rFonts w:ascii="Times New Roman" w:hAnsi="Times New Roman" w:cs="Times New Roman"/>
          <w:b/>
          <w:sz w:val="28"/>
          <w:szCs w:val="28"/>
        </w:rPr>
        <w:t>Конфликт</w:t>
      </w:r>
      <w:r w:rsidRPr="001F7783">
        <w:rPr>
          <w:rFonts w:ascii="Times New Roman" w:hAnsi="Times New Roman" w:cs="Times New Roman"/>
          <w:b/>
          <w:sz w:val="28"/>
          <w:szCs w:val="28"/>
        </w:rPr>
        <w:t xml:space="preserve"> </w:t>
      </w:r>
      <w:r w:rsidRPr="00F3264E">
        <w:rPr>
          <w:rFonts w:ascii="Times New Roman" w:hAnsi="Times New Roman" w:cs="Times New Roman"/>
          <w:b/>
          <w:sz w:val="28"/>
          <w:szCs w:val="28"/>
        </w:rPr>
        <w:t>интересов</w:t>
      </w:r>
      <w:r w:rsidRPr="001F7783">
        <w:rPr>
          <w:rFonts w:ascii="Times New Roman" w:hAnsi="Times New Roman" w:cs="Times New Roman"/>
          <w:b/>
          <w:sz w:val="28"/>
          <w:szCs w:val="28"/>
        </w:rPr>
        <w:t xml:space="preserve"> / </w:t>
      </w:r>
      <w:r w:rsidRPr="00F3264E">
        <w:rPr>
          <w:rFonts w:ascii="Times New Roman" w:hAnsi="Times New Roman" w:cs="Times New Roman"/>
          <w:b/>
          <w:sz w:val="28"/>
          <w:szCs w:val="28"/>
          <w:lang w:val="en-US"/>
        </w:rPr>
        <w:t>Conflict</w:t>
      </w:r>
      <w:r w:rsidRPr="001F7783">
        <w:rPr>
          <w:rFonts w:ascii="Times New Roman" w:hAnsi="Times New Roman" w:cs="Times New Roman"/>
          <w:b/>
          <w:sz w:val="28"/>
          <w:szCs w:val="28"/>
        </w:rPr>
        <w:t xml:space="preserve"> </w:t>
      </w:r>
      <w:r w:rsidRPr="00F3264E">
        <w:rPr>
          <w:rFonts w:ascii="Times New Roman" w:hAnsi="Times New Roman" w:cs="Times New Roman"/>
          <w:b/>
          <w:sz w:val="28"/>
          <w:szCs w:val="28"/>
          <w:lang w:val="en-US"/>
        </w:rPr>
        <w:t>of</w:t>
      </w:r>
      <w:r w:rsidRPr="001F7783">
        <w:rPr>
          <w:rFonts w:ascii="Times New Roman" w:hAnsi="Times New Roman" w:cs="Times New Roman"/>
          <w:b/>
          <w:sz w:val="28"/>
          <w:szCs w:val="28"/>
        </w:rPr>
        <w:t xml:space="preserve"> </w:t>
      </w:r>
      <w:r w:rsidRPr="00F3264E">
        <w:rPr>
          <w:rFonts w:ascii="Times New Roman" w:hAnsi="Times New Roman" w:cs="Times New Roman"/>
          <w:b/>
          <w:sz w:val="28"/>
          <w:szCs w:val="28"/>
          <w:lang w:val="en-US"/>
        </w:rPr>
        <w:t>interest</w:t>
      </w:r>
      <w:r w:rsidRPr="001F7783">
        <w:rPr>
          <w:rFonts w:ascii="Times New Roman" w:hAnsi="Times New Roman" w:cs="Times New Roman"/>
          <w:b/>
          <w:sz w:val="28"/>
          <w:szCs w:val="28"/>
        </w:rPr>
        <w:t xml:space="preserve"> </w:t>
      </w:r>
    </w:p>
    <w:p w14:paraId="6A944D70" w14:textId="77777777" w:rsidR="001D3148" w:rsidRDefault="001D3148" w:rsidP="0040071C">
      <w:pPr>
        <w:spacing w:line="480" w:lineRule="auto"/>
        <w:ind w:firstLine="708"/>
        <w:contextualSpacing/>
        <w:jc w:val="both"/>
        <w:rPr>
          <w:rFonts w:ascii="Times New Roman" w:hAnsi="Times New Roman" w:cs="Times New Roman"/>
          <w:sz w:val="24"/>
          <w:szCs w:val="24"/>
        </w:rPr>
      </w:pPr>
      <w:r w:rsidRPr="00F3264E">
        <w:rPr>
          <w:rFonts w:ascii="Times New Roman" w:hAnsi="Times New Roman" w:cs="Times New Roman"/>
          <w:sz w:val="28"/>
          <w:szCs w:val="28"/>
        </w:rPr>
        <w:t>Авторы заявили об отсутствии потенциального конфликта интересов. / The authors declare no conflict of interest</w:t>
      </w:r>
      <w:r w:rsidRPr="00F3264E">
        <w:rPr>
          <w:rFonts w:ascii="Times New Roman" w:hAnsi="Times New Roman" w:cs="Times New Roman"/>
          <w:sz w:val="24"/>
          <w:szCs w:val="24"/>
        </w:rPr>
        <w:t xml:space="preserve">. </w:t>
      </w:r>
    </w:p>
    <w:p w14:paraId="566BAD23" w14:textId="77777777" w:rsidR="00C4581C" w:rsidRPr="006968C3" w:rsidRDefault="00C4581C" w:rsidP="009445B8">
      <w:pPr>
        <w:spacing w:line="480" w:lineRule="auto"/>
        <w:ind w:firstLine="708"/>
        <w:contextualSpacing/>
        <w:jc w:val="both"/>
        <w:rPr>
          <w:rFonts w:ascii="Times New Roman" w:hAnsi="Times New Roman" w:cs="Times New Roman"/>
          <w:b/>
          <w:sz w:val="28"/>
          <w:szCs w:val="28"/>
          <w:lang w:val="en-US"/>
        </w:rPr>
      </w:pPr>
      <w:r w:rsidRPr="00C4581C">
        <w:rPr>
          <w:rFonts w:ascii="Times New Roman" w:hAnsi="Times New Roman" w:cs="Times New Roman"/>
          <w:b/>
          <w:sz w:val="28"/>
          <w:szCs w:val="28"/>
        </w:rPr>
        <w:t>Финансирование</w:t>
      </w:r>
      <w:r w:rsidRPr="006968C3">
        <w:rPr>
          <w:rFonts w:ascii="Times New Roman" w:hAnsi="Times New Roman" w:cs="Times New Roman"/>
          <w:b/>
          <w:sz w:val="28"/>
          <w:szCs w:val="28"/>
          <w:lang w:val="en-US"/>
        </w:rPr>
        <w:t xml:space="preserve"> / </w:t>
      </w:r>
      <w:r w:rsidRPr="00C4581C">
        <w:rPr>
          <w:rFonts w:ascii="Times New Roman" w:hAnsi="Times New Roman" w:cs="Times New Roman"/>
          <w:b/>
          <w:sz w:val="28"/>
          <w:szCs w:val="28"/>
          <w:lang w:val="en-US"/>
        </w:rPr>
        <w:t>Funding</w:t>
      </w:r>
    </w:p>
    <w:p w14:paraId="7BDDEBB5" w14:textId="77777777" w:rsidR="00C4581C" w:rsidRPr="00C4581C" w:rsidRDefault="00C4581C" w:rsidP="0040071C">
      <w:pPr>
        <w:spacing w:line="480" w:lineRule="auto"/>
        <w:ind w:firstLine="708"/>
        <w:contextualSpacing/>
        <w:jc w:val="both"/>
        <w:rPr>
          <w:rFonts w:ascii="Times New Roman" w:hAnsi="Times New Roman" w:cs="Times New Roman"/>
          <w:sz w:val="28"/>
          <w:szCs w:val="28"/>
          <w:lang w:val="en-US"/>
        </w:rPr>
      </w:pPr>
      <w:r w:rsidRPr="00C4581C">
        <w:rPr>
          <w:rFonts w:ascii="Times New Roman" w:hAnsi="Times New Roman" w:cs="Times New Roman"/>
          <w:sz w:val="28"/>
          <w:szCs w:val="28"/>
        </w:rPr>
        <w:t>Исследование</w:t>
      </w:r>
      <w:r w:rsidRPr="00C4581C">
        <w:rPr>
          <w:rFonts w:ascii="Times New Roman" w:hAnsi="Times New Roman" w:cs="Times New Roman"/>
          <w:sz w:val="28"/>
          <w:szCs w:val="28"/>
          <w:lang w:val="en-US"/>
        </w:rPr>
        <w:t xml:space="preserve"> </w:t>
      </w:r>
      <w:r w:rsidRPr="00C4581C">
        <w:rPr>
          <w:rFonts w:ascii="Times New Roman" w:hAnsi="Times New Roman" w:cs="Times New Roman"/>
          <w:sz w:val="28"/>
          <w:szCs w:val="28"/>
        </w:rPr>
        <w:t>выполнено</w:t>
      </w:r>
      <w:r w:rsidRPr="00C4581C">
        <w:rPr>
          <w:rFonts w:ascii="Times New Roman" w:hAnsi="Times New Roman" w:cs="Times New Roman"/>
          <w:sz w:val="28"/>
          <w:szCs w:val="28"/>
          <w:lang w:val="en-US"/>
        </w:rPr>
        <w:t xml:space="preserve"> </w:t>
      </w:r>
      <w:r w:rsidRPr="00C4581C">
        <w:rPr>
          <w:rFonts w:ascii="Times New Roman" w:hAnsi="Times New Roman" w:cs="Times New Roman"/>
          <w:sz w:val="28"/>
          <w:szCs w:val="28"/>
        </w:rPr>
        <w:t>за</w:t>
      </w:r>
      <w:r w:rsidRPr="00C4581C">
        <w:rPr>
          <w:rFonts w:ascii="Times New Roman" w:hAnsi="Times New Roman" w:cs="Times New Roman"/>
          <w:sz w:val="28"/>
          <w:szCs w:val="28"/>
          <w:lang w:val="en-US"/>
        </w:rPr>
        <w:t xml:space="preserve"> </w:t>
      </w:r>
      <w:r w:rsidRPr="00C4581C">
        <w:rPr>
          <w:rFonts w:ascii="Times New Roman" w:hAnsi="Times New Roman" w:cs="Times New Roman"/>
          <w:sz w:val="28"/>
          <w:szCs w:val="28"/>
        </w:rPr>
        <w:t>счет</w:t>
      </w:r>
      <w:r w:rsidRPr="00C4581C">
        <w:rPr>
          <w:rFonts w:ascii="Times New Roman" w:hAnsi="Times New Roman" w:cs="Times New Roman"/>
          <w:sz w:val="28"/>
          <w:szCs w:val="28"/>
          <w:lang w:val="en-US"/>
        </w:rPr>
        <w:t xml:space="preserve"> </w:t>
      </w:r>
      <w:r w:rsidRPr="00C4581C">
        <w:rPr>
          <w:rFonts w:ascii="Times New Roman" w:hAnsi="Times New Roman" w:cs="Times New Roman"/>
          <w:sz w:val="28"/>
          <w:szCs w:val="28"/>
        </w:rPr>
        <w:t>гранта</w:t>
      </w:r>
      <w:r w:rsidRPr="00C4581C">
        <w:rPr>
          <w:rFonts w:ascii="Times New Roman" w:hAnsi="Times New Roman" w:cs="Times New Roman"/>
          <w:sz w:val="28"/>
          <w:szCs w:val="28"/>
          <w:lang w:val="en-US"/>
        </w:rPr>
        <w:t xml:space="preserve"> </w:t>
      </w:r>
      <w:r w:rsidRPr="00C4581C">
        <w:rPr>
          <w:rFonts w:ascii="Times New Roman" w:hAnsi="Times New Roman" w:cs="Times New Roman"/>
          <w:sz w:val="28"/>
          <w:szCs w:val="28"/>
        </w:rPr>
        <w:t>Российского</w:t>
      </w:r>
      <w:r w:rsidRPr="00C4581C">
        <w:rPr>
          <w:rFonts w:ascii="Times New Roman" w:hAnsi="Times New Roman" w:cs="Times New Roman"/>
          <w:sz w:val="28"/>
          <w:szCs w:val="28"/>
          <w:lang w:val="en-US"/>
        </w:rPr>
        <w:t xml:space="preserve"> </w:t>
      </w:r>
      <w:r w:rsidRPr="00C4581C">
        <w:rPr>
          <w:rFonts w:ascii="Times New Roman" w:hAnsi="Times New Roman" w:cs="Times New Roman"/>
          <w:sz w:val="28"/>
          <w:szCs w:val="28"/>
        </w:rPr>
        <w:t>научного</w:t>
      </w:r>
      <w:r w:rsidRPr="00C4581C">
        <w:rPr>
          <w:rFonts w:ascii="Times New Roman" w:hAnsi="Times New Roman" w:cs="Times New Roman"/>
          <w:sz w:val="28"/>
          <w:szCs w:val="28"/>
          <w:lang w:val="en-US"/>
        </w:rPr>
        <w:t xml:space="preserve"> </w:t>
      </w:r>
      <w:r w:rsidRPr="00C4581C">
        <w:rPr>
          <w:rFonts w:ascii="Times New Roman" w:hAnsi="Times New Roman" w:cs="Times New Roman"/>
          <w:sz w:val="28"/>
          <w:szCs w:val="28"/>
        </w:rPr>
        <w:t>фонда</w:t>
      </w:r>
      <w:r w:rsidRPr="00C4581C">
        <w:rPr>
          <w:rFonts w:ascii="Times New Roman" w:hAnsi="Times New Roman" w:cs="Times New Roman"/>
          <w:sz w:val="28"/>
          <w:szCs w:val="28"/>
          <w:lang w:val="en-US"/>
        </w:rPr>
        <w:t xml:space="preserve"> № 22-25-20132, https://rscf.ru/project/22-25-20132/ / The research was carried out at the expense of the grant of the Russian Science Foundation No. 22-25-20132, </w:t>
      </w:r>
      <w:hyperlink r:id="rId10" w:history="1">
        <w:r w:rsidRPr="003F369D">
          <w:rPr>
            <w:rStyle w:val="af1"/>
            <w:rFonts w:ascii="Times New Roman" w:hAnsi="Times New Roman" w:cs="Times New Roman"/>
            <w:color w:val="auto"/>
            <w:sz w:val="28"/>
            <w:szCs w:val="28"/>
            <w:u w:val="none"/>
            <w:lang w:val="en-US"/>
          </w:rPr>
          <w:t>https://rscf.ru/</w:t>
        </w:r>
      </w:hyperlink>
      <w:r w:rsidRPr="00D459C2">
        <w:rPr>
          <w:rFonts w:ascii="Times New Roman" w:hAnsi="Times New Roman" w:cs="Times New Roman"/>
          <w:sz w:val="28"/>
          <w:szCs w:val="28"/>
          <w:lang w:val="en-US"/>
        </w:rPr>
        <w:t>project/22-25-20132/</w:t>
      </w:r>
    </w:p>
    <w:p w14:paraId="0BA87059" w14:textId="77777777" w:rsidR="001D3148" w:rsidRDefault="00C013BC" w:rsidP="0040071C">
      <w:pPr>
        <w:spacing w:line="480" w:lineRule="auto"/>
        <w:ind w:firstLine="708"/>
        <w:contextualSpacing/>
        <w:jc w:val="center"/>
        <w:rPr>
          <w:rFonts w:ascii="Times New Roman" w:hAnsi="Times New Roman" w:cs="Times New Roman"/>
          <w:b/>
          <w:sz w:val="28"/>
          <w:szCs w:val="28"/>
          <w:lang w:val="en-US"/>
        </w:rPr>
      </w:pPr>
      <w:r w:rsidRPr="00C4581C">
        <w:rPr>
          <w:rFonts w:ascii="Times New Roman" w:hAnsi="Times New Roman" w:cs="Times New Roman"/>
          <w:sz w:val="28"/>
          <w:szCs w:val="28"/>
          <w:lang w:val="en-US"/>
        </w:rPr>
        <w:lastRenderedPageBreak/>
        <w:tab/>
      </w:r>
      <w:r w:rsidR="001D3148" w:rsidRPr="00AD4FC9">
        <w:rPr>
          <w:rFonts w:ascii="Times New Roman" w:hAnsi="Times New Roman" w:cs="Times New Roman"/>
          <w:b/>
          <w:sz w:val="28"/>
          <w:szCs w:val="28"/>
        </w:rPr>
        <w:t>Список</w:t>
      </w:r>
      <w:r w:rsidR="001D3148" w:rsidRPr="00AD4FC9">
        <w:rPr>
          <w:rFonts w:ascii="Times New Roman" w:hAnsi="Times New Roman" w:cs="Times New Roman"/>
          <w:b/>
          <w:sz w:val="28"/>
          <w:szCs w:val="28"/>
          <w:lang w:val="en-US"/>
        </w:rPr>
        <w:t xml:space="preserve"> </w:t>
      </w:r>
      <w:r w:rsidR="001D3148" w:rsidRPr="00AD4FC9">
        <w:rPr>
          <w:rFonts w:ascii="Times New Roman" w:hAnsi="Times New Roman" w:cs="Times New Roman"/>
          <w:b/>
          <w:sz w:val="28"/>
          <w:szCs w:val="28"/>
        </w:rPr>
        <w:t>литературы</w:t>
      </w:r>
      <w:r w:rsidR="001D3148" w:rsidRPr="00AD4FC9">
        <w:rPr>
          <w:rFonts w:ascii="Times New Roman" w:hAnsi="Times New Roman" w:cs="Times New Roman"/>
          <w:b/>
          <w:sz w:val="28"/>
          <w:szCs w:val="28"/>
          <w:lang w:val="en-US"/>
        </w:rPr>
        <w:t xml:space="preserve"> / References</w:t>
      </w:r>
    </w:p>
    <w:p w14:paraId="05505B4D" w14:textId="091F6979" w:rsidR="008579BC" w:rsidRPr="008579BC" w:rsidRDefault="00DC7512" w:rsidP="009038EB">
      <w:pPr>
        <w:pStyle w:val="a8"/>
        <w:spacing w:line="360" w:lineRule="auto"/>
        <w:contextualSpacing/>
        <w:jc w:val="both"/>
        <w:rPr>
          <w:rFonts w:ascii="Times New Roman" w:hAnsi="Times New Roman" w:cs="Times New Roman"/>
          <w:sz w:val="28"/>
          <w:lang w:val="en-US"/>
        </w:rPr>
      </w:pPr>
      <w:r w:rsidRPr="00367D16">
        <w:rPr>
          <w:sz w:val="28"/>
          <w:szCs w:val="28"/>
          <w:lang w:val="en-US"/>
        </w:rPr>
        <w:fldChar w:fldCharType="begin"/>
      </w:r>
      <w:r w:rsidR="008579BC">
        <w:rPr>
          <w:sz w:val="28"/>
          <w:szCs w:val="28"/>
          <w:lang w:val="en-US"/>
        </w:rPr>
        <w:instrText xml:space="preserve"> ADDIN ZOTERO_BIBL {"uncited":[],"omitted":[],"custom":[]} CSL_BIBLIOGRAPHY </w:instrText>
      </w:r>
      <w:r w:rsidRPr="00367D16">
        <w:rPr>
          <w:sz w:val="28"/>
          <w:szCs w:val="28"/>
          <w:lang w:val="en-US"/>
        </w:rPr>
        <w:fldChar w:fldCharType="separate"/>
      </w:r>
      <w:r w:rsidR="008579BC" w:rsidRPr="008579BC">
        <w:rPr>
          <w:rFonts w:ascii="Times New Roman" w:hAnsi="Times New Roman" w:cs="Times New Roman"/>
          <w:sz w:val="28"/>
          <w:lang w:val="en-US"/>
        </w:rPr>
        <w:t>1.</w:t>
      </w:r>
      <w:r w:rsidR="008579BC" w:rsidRPr="008579BC">
        <w:rPr>
          <w:rFonts w:ascii="Times New Roman" w:hAnsi="Times New Roman" w:cs="Times New Roman"/>
          <w:sz w:val="28"/>
          <w:lang w:val="en-US"/>
        </w:rPr>
        <w:tab/>
        <w:t>Macfarlane RG, Biggs R. A Thrombin Generation Test: The Application in Haemophilia and T</w:t>
      </w:r>
      <w:r w:rsidR="008579BC">
        <w:rPr>
          <w:rFonts w:ascii="Times New Roman" w:hAnsi="Times New Roman" w:cs="Times New Roman"/>
          <w:sz w:val="28"/>
          <w:lang w:val="en-US"/>
        </w:rPr>
        <w:t xml:space="preserve">hrombocytopenia. J Clin Pathol. </w:t>
      </w:r>
      <w:r w:rsidR="008579BC" w:rsidRPr="008579BC">
        <w:rPr>
          <w:rFonts w:ascii="Times New Roman" w:hAnsi="Times New Roman" w:cs="Times New Roman"/>
          <w:sz w:val="28"/>
          <w:lang w:val="en-US"/>
        </w:rPr>
        <w:t>1953;</w:t>
      </w:r>
      <w:r w:rsidR="008579BC">
        <w:rPr>
          <w:rFonts w:ascii="Times New Roman" w:hAnsi="Times New Roman" w:cs="Times New Roman"/>
          <w:sz w:val="28"/>
          <w:lang w:val="en-US"/>
        </w:rPr>
        <w:t xml:space="preserve"> </w:t>
      </w:r>
      <w:r w:rsidR="008579BC" w:rsidRPr="008579BC">
        <w:rPr>
          <w:rFonts w:ascii="Times New Roman" w:hAnsi="Times New Roman" w:cs="Times New Roman"/>
          <w:sz w:val="28"/>
          <w:lang w:val="en-US"/>
        </w:rPr>
        <w:t xml:space="preserve">6(1):3–8. </w:t>
      </w:r>
    </w:p>
    <w:p w14:paraId="76CB4C85" w14:textId="4D1F3716" w:rsidR="008579BC" w:rsidRPr="008579BC" w:rsidRDefault="008579BC" w:rsidP="009038EB">
      <w:pPr>
        <w:pStyle w:val="a8"/>
        <w:spacing w:line="360" w:lineRule="auto"/>
        <w:contextualSpacing/>
        <w:jc w:val="both"/>
        <w:rPr>
          <w:rFonts w:ascii="Times New Roman" w:hAnsi="Times New Roman" w:cs="Times New Roman"/>
          <w:sz w:val="28"/>
          <w:lang w:val="en-US"/>
        </w:rPr>
      </w:pPr>
      <w:r w:rsidRPr="008579BC">
        <w:rPr>
          <w:rFonts w:ascii="Times New Roman" w:hAnsi="Times New Roman" w:cs="Times New Roman"/>
          <w:sz w:val="28"/>
          <w:lang w:val="en-US"/>
        </w:rPr>
        <w:t>2.</w:t>
      </w:r>
      <w:r w:rsidRPr="008579BC">
        <w:rPr>
          <w:rFonts w:ascii="Times New Roman" w:hAnsi="Times New Roman" w:cs="Times New Roman"/>
          <w:sz w:val="28"/>
          <w:lang w:val="en-US"/>
        </w:rPr>
        <w:tab/>
        <w:t xml:space="preserve">Hemker HC, Giesen P, AlDieri R, Regnault V, de Smed E, Wagenvoord R, </w:t>
      </w:r>
      <w:r w:rsidR="00116A89">
        <w:rPr>
          <w:rFonts w:ascii="Times New Roman" w:hAnsi="Times New Roman" w:cs="Times New Roman"/>
          <w:sz w:val="28"/>
          <w:lang w:val="en-US"/>
        </w:rPr>
        <w:t>et al</w:t>
      </w:r>
      <w:r w:rsidRPr="008579BC">
        <w:rPr>
          <w:rFonts w:ascii="Times New Roman" w:hAnsi="Times New Roman" w:cs="Times New Roman"/>
          <w:sz w:val="28"/>
          <w:lang w:val="en-US"/>
        </w:rPr>
        <w:t>. The Calibrated Automated Thrombogram (CAT): a universal routine test for hyper- and hypocoagulability. Pa</w:t>
      </w:r>
      <w:r>
        <w:rPr>
          <w:rFonts w:ascii="Times New Roman" w:hAnsi="Times New Roman" w:cs="Times New Roman"/>
          <w:sz w:val="28"/>
          <w:lang w:val="en-US"/>
        </w:rPr>
        <w:t>thophysiol Haemost Thromb. 2002</w:t>
      </w:r>
      <w:r w:rsidRPr="008579BC">
        <w:rPr>
          <w:rFonts w:ascii="Times New Roman" w:hAnsi="Times New Roman" w:cs="Times New Roman"/>
          <w:sz w:val="28"/>
          <w:lang w:val="en-US"/>
        </w:rPr>
        <w:t>;</w:t>
      </w:r>
      <w:r>
        <w:rPr>
          <w:rFonts w:ascii="Times New Roman" w:hAnsi="Times New Roman" w:cs="Times New Roman"/>
          <w:sz w:val="28"/>
          <w:lang w:val="en-US"/>
        </w:rPr>
        <w:t xml:space="preserve"> </w:t>
      </w:r>
      <w:r w:rsidRPr="008579BC">
        <w:rPr>
          <w:rFonts w:ascii="Times New Roman" w:hAnsi="Times New Roman" w:cs="Times New Roman"/>
          <w:sz w:val="28"/>
          <w:lang w:val="en-US"/>
        </w:rPr>
        <w:t xml:space="preserve">32(5–6):249–53. </w:t>
      </w:r>
    </w:p>
    <w:p w14:paraId="70438951" w14:textId="0E8098FD" w:rsidR="008579BC" w:rsidRPr="008579BC" w:rsidRDefault="008579BC" w:rsidP="009038EB">
      <w:pPr>
        <w:pStyle w:val="a8"/>
        <w:spacing w:line="360" w:lineRule="auto"/>
        <w:contextualSpacing/>
        <w:jc w:val="both"/>
        <w:rPr>
          <w:rFonts w:ascii="Times New Roman" w:hAnsi="Times New Roman" w:cs="Times New Roman"/>
          <w:sz w:val="28"/>
          <w:lang w:val="en-US"/>
        </w:rPr>
      </w:pPr>
      <w:r w:rsidRPr="008579BC">
        <w:rPr>
          <w:rFonts w:ascii="Times New Roman" w:hAnsi="Times New Roman" w:cs="Times New Roman"/>
          <w:sz w:val="28"/>
          <w:lang w:val="en-US"/>
        </w:rPr>
        <w:t>3.</w:t>
      </w:r>
      <w:r w:rsidRPr="008579BC">
        <w:rPr>
          <w:rFonts w:ascii="Times New Roman" w:hAnsi="Times New Roman" w:cs="Times New Roman"/>
          <w:sz w:val="28"/>
          <w:lang w:val="en-US"/>
        </w:rPr>
        <w:tab/>
        <w:t xml:space="preserve">Depasse F, Binder NB, Mueller J, Wissel T, Schwers S, Germer M, </w:t>
      </w:r>
      <w:r w:rsidR="00116A89">
        <w:rPr>
          <w:rFonts w:ascii="Times New Roman" w:hAnsi="Times New Roman" w:cs="Times New Roman"/>
          <w:sz w:val="28"/>
          <w:lang w:val="en-US"/>
        </w:rPr>
        <w:t>et al</w:t>
      </w:r>
      <w:r w:rsidRPr="008579BC">
        <w:rPr>
          <w:rFonts w:ascii="Times New Roman" w:hAnsi="Times New Roman" w:cs="Times New Roman"/>
          <w:sz w:val="28"/>
          <w:lang w:val="en-US"/>
        </w:rPr>
        <w:t>. Thrombin generation assays are versatile tools in blood coagulation analysis: A review of technical features, and applications from research to laboratory routine. J Thromb Haemost. 2021;</w:t>
      </w:r>
      <w:r>
        <w:rPr>
          <w:rFonts w:ascii="Times New Roman" w:hAnsi="Times New Roman" w:cs="Times New Roman"/>
          <w:sz w:val="28"/>
          <w:lang w:val="en-US"/>
        </w:rPr>
        <w:t xml:space="preserve"> </w:t>
      </w:r>
      <w:r w:rsidRPr="008579BC">
        <w:rPr>
          <w:rFonts w:ascii="Times New Roman" w:hAnsi="Times New Roman" w:cs="Times New Roman"/>
          <w:sz w:val="28"/>
          <w:lang w:val="en-US"/>
        </w:rPr>
        <w:t xml:space="preserve">19(12):2907–17. </w:t>
      </w:r>
    </w:p>
    <w:p w14:paraId="69F7E421" w14:textId="5D915B89" w:rsidR="008579BC" w:rsidRPr="008579BC" w:rsidRDefault="008579BC" w:rsidP="009038EB">
      <w:pPr>
        <w:pStyle w:val="a8"/>
        <w:spacing w:line="360" w:lineRule="auto"/>
        <w:contextualSpacing/>
        <w:jc w:val="both"/>
        <w:rPr>
          <w:rFonts w:ascii="Times New Roman" w:hAnsi="Times New Roman" w:cs="Times New Roman"/>
          <w:sz w:val="28"/>
          <w:lang w:val="en-US"/>
        </w:rPr>
      </w:pPr>
      <w:r w:rsidRPr="008579BC">
        <w:rPr>
          <w:rFonts w:ascii="Times New Roman" w:hAnsi="Times New Roman" w:cs="Times New Roman"/>
          <w:sz w:val="28"/>
          <w:lang w:val="en-US"/>
        </w:rPr>
        <w:t>4.</w:t>
      </w:r>
      <w:r w:rsidRPr="008579BC">
        <w:rPr>
          <w:rFonts w:ascii="Times New Roman" w:hAnsi="Times New Roman" w:cs="Times New Roman"/>
          <w:sz w:val="28"/>
          <w:lang w:val="en-US"/>
        </w:rPr>
        <w:tab/>
        <w:t xml:space="preserve">Loeffen R, Kleinegris MCF, Loubele STBG, Pluijmen PHM, Fens D, van Oerle R, </w:t>
      </w:r>
      <w:r w:rsidR="00116A89">
        <w:rPr>
          <w:rFonts w:ascii="Times New Roman" w:hAnsi="Times New Roman" w:cs="Times New Roman"/>
          <w:sz w:val="28"/>
          <w:lang w:val="en-US"/>
        </w:rPr>
        <w:t>et al</w:t>
      </w:r>
      <w:r w:rsidRPr="008579BC">
        <w:rPr>
          <w:rFonts w:ascii="Times New Roman" w:hAnsi="Times New Roman" w:cs="Times New Roman"/>
          <w:sz w:val="28"/>
          <w:lang w:val="en-US"/>
        </w:rPr>
        <w:t xml:space="preserve">. Preanalytic variables of thrombin generation: towards a standard procedure and validation of the method. J Thromb Haemost JTH. 2012 ;10(12):2544–54. </w:t>
      </w:r>
    </w:p>
    <w:p w14:paraId="65F7C1FE" w14:textId="7DAEF511" w:rsidR="008579BC" w:rsidRPr="00DE6319" w:rsidRDefault="008579BC" w:rsidP="009038EB">
      <w:pPr>
        <w:pStyle w:val="a8"/>
        <w:spacing w:line="360" w:lineRule="auto"/>
        <w:contextualSpacing/>
        <w:jc w:val="both"/>
        <w:rPr>
          <w:rFonts w:ascii="Times New Roman" w:hAnsi="Times New Roman" w:cs="Times New Roman"/>
          <w:sz w:val="28"/>
          <w:lang w:val="en-US"/>
        </w:rPr>
      </w:pPr>
      <w:r w:rsidRPr="008579BC">
        <w:rPr>
          <w:rFonts w:ascii="Times New Roman" w:hAnsi="Times New Roman" w:cs="Times New Roman"/>
          <w:sz w:val="28"/>
          <w:lang w:val="en-US"/>
        </w:rPr>
        <w:t>5.</w:t>
      </w:r>
      <w:r w:rsidRPr="008579BC">
        <w:rPr>
          <w:rFonts w:ascii="Times New Roman" w:hAnsi="Times New Roman" w:cs="Times New Roman"/>
          <w:sz w:val="28"/>
          <w:lang w:val="en-US"/>
        </w:rPr>
        <w:tab/>
        <w:t xml:space="preserve">Wagner L, Luddington R, Wiens L, Grigorov A, Hrachovinová I, Binder B. First Experiences with the Measurement of Thrombin </w:t>
      </w:r>
      <w:r w:rsidR="00116A89">
        <w:rPr>
          <w:rFonts w:ascii="Times New Roman" w:hAnsi="Times New Roman" w:cs="Times New Roman"/>
          <w:sz w:val="28"/>
          <w:lang w:val="en-US"/>
        </w:rPr>
        <w:t>Generation (TGA) on the Ceveron</w:t>
      </w:r>
      <w:r w:rsidRPr="008579BC">
        <w:rPr>
          <w:rFonts w:ascii="Times New Roman" w:hAnsi="Times New Roman" w:cs="Times New Roman"/>
          <w:sz w:val="28"/>
          <w:lang w:val="en-US"/>
        </w:rPr>
        <w:t xml:space="preserve"> Alpha in the Routine Lab. </w:t>
      </w:r>
      <w:r w:rsidRPr="00DE6319">
        <w:rPr>
          <w:rFonts w:ascii="Times New Roman" w:hAnsi="Times New Roman" w:cs="Times New Roman"/>
          <w:sz w:val="28"/>
          <w:lang w:val="en-US"/>
        </w:rPr>
        <w:t xml:space="preserve">Blood. 16 </w:t>
      </w:r>
      <w:r>
        <w:rPr>
          <w:rFonts w:ascii="Times New Roman" w:hAnsi="Times New Roman" w:cs="Times New Roman"/>
          <w:sz w:val="28"/>
        </w:rPr>
        <w:t>ноябрь</w:t>
      </w:r>
      <w:r w:rsidRPr="00DE6319">
        <w:rPr>
          <w:rFonts w:ascii="Times New Roman" w:hAnsi="Times New Roman" w:cs="Times New Roman"/>
          <w:sz w:val="28"/>
          <w:lang w:val="en-US"/>
        </w:rPr>
        <w:t xml:space="preserve"> 2008;</w:t>
      </w:r>
      <w:r>
        <w:rPr>
          <w:rFonts w:ascii="Times New Roman" w:hAnsi="Times New Roman" w:cs="Times New Roman"/>
          <w:sz w:val="28"/>
          <w:lang w:val="en-US"/>
        </w:rPr>
        <w:t xml:space="preserve"> </w:t>
      </w:r>
      <w:r w:rsidRPr="00DE6319">
        <w:rPr>
          <w:rFonts w:ascii="Times New Roman" w:hAnsi="Times New Roman" w:cs="Times New Roman"/>
          <w:sz w:val="28"/>
          <w:lang w:val="en-US"/>
        </w:rPr>
        <w:t xml:space="preserve">112(11):4089–4089. </w:t>
      </w:r>
    </w:p>
    <w:p w14:paraId="6CDA1EB6" w14:textId="3094368F" w:rsidR="008579BC" w:rsidRPr="008579BC" w:rsidRDefault="008579BC" w:rsidP="009038EB">
      <w:pPr>
        <w:pStyle w:val="a8"/>
        <w:spacing w:line="360" w:lineRule="auto"/>
        <w:contextualSpacing/>
        <w:jc w:val="both"/>
        <w:rPr>
          <w:rFonts w:ascii="Times New Roman" w:hAnsi="Times New Roman" w:cs="Times New Roman"/>
          <w:sz w:val="28"/>
          <w:lang w:val="en-US"/>
        </w:rPr>
      </w:pPr>
      <w:r w:rsidRPr="00DE6319">
        <w:rPr>
          <w:rFonts w:ascii="Times New Roman" w:hAnsi="Times New Roman" w:cs="Times New Roman"/>
          <w:sz w:val="28"/>
          <w:lang w:val="en-US"/>
        </w:rPr>
        <w:t>6.</w:t>
      </w:r>
      <w:r w:rsidRPr="00DE6319">
        <w:rPr>
          <w:rFonts w:ascii="Times New Roman" w:hAnsi="Times New Roman" w:cs="Times New Roman"/>
          <w:sz w:val="28"/>
          <w:lang w:val="en-US"/>
        </w:rPr>
        <w:tab/>
        <w:t xml:space="preserve">Pfrepper C, Behrendt L, Bönigk H, Siegemund T, Metze M, Franke D, </w:t>
      </w:r>
      <w:r w:rsidRPr="008579BC">
        <w:rPr>
          <w:rFonts w:ascii="Times New Roman" w:hAnsi="Times New Roman" w:cs="Times New Roman"/>
          <w:sz w:val="28"/>
        </w:rPr>
        <w:t>и</w:t>
      </w:r>
      <w:r w:rsidRPr="00DE6319">
        <w:rPr>
          <w:rFonts w:ascii="Times New Roman" w:hAnsi="Times New Roman" w:cs="Times New Roman"/>
          <w:sz w:val="28"/>
          <w:lang w:val="en-US"/>
        </w:rPr>
        <w:t xml:space="preserve"> </w:t>
      </w:r>
      <w:r w:rsidRPr="008579BC">
        <w:rPr>
          <w:rFonts w:ascii="Times New Roman" w:hAnsi="Times New Roman" w:cs="Times New Roman"/>
          <w:sz w:val="28"/>
        </w:rPr>
        <w:t>др</w:t>
      </w:r>
      <w:r w:rsidRPr="00DE6319">
        <w:rPr>
          <w:rFonts w:ascii="Times New Roman" w:hAnsi="Times New Roman" w:cs="Times New Roman"/>
          <w:sz w:val="28"/>
          <w:lang w:val="en-US"/>
        </w:rPr>
        <w:t xml:space="preserve">. </w:t>
      </w:r>
      <w:r w:rsidRPr="008579BC">
        <w:rPr>
          <w:rFonts w:ascii="Times New Roman" w:hAnsi="Times New Roman" w:cs="Times New Roman"/>
          <w:sz w:val="28"/>
          <w:lang w:val="en-US"/>
        </w:rPr>
        <w:t xml:space="preserve">Influence of direct oral anticoagulants on thrombin generation on Ceveron TGA. Int J Lab Hematol. </w:t>
      </w:r>
      <w:r w:rsidRPr="008579BC">
        <w:rPr>
          <w:rFonts w:ascii="Times New Roman" w:hAnsi="Times New Roman" w:cs="Times New Roman"/>
          <w:sz w:val="28"/>
        </w:rPr>
        <w:t>февраль</w:t>
      </w:r>
      <w:r>
        <w:rPr>
          <w:rFonts w:ascii="Times New Roman" w:hAnsi="Times New Roman" w:cs="Times New Roman"/>
          <w:sz w:val="28"/>
          <w:lang w:val="en-US"/>
        </w:rPr>
        <w:t xml:space="preserve"> 2022</w:t>
      </w:r>
      <w:r w:rsidRPr="008579BC">
        <w:rPr>
          <w:rFonts w:ascii="Times New Roman" w:hAnsi="Times New Roman" w:cs="Times New Roman"/>
          <w:sz w:val="28"/>
          <w:lang w:val="en-US"/>
        </w:rPr>
        <w:t>;</w:t>
      </w:r>
      <w:r>
        <w:rPr>
          <w:rFonts w:ascii="Times New Roman" w:hAnsi="Times New Roman" w:cs="Times New Roman"/>
          <w:sz w:val="28"/>
          <w:lang w:val="en-US"/>
        </w:rPr>
        <w:t xml:space="preserve"> </w:t>
      </w:r>
      <w:r w:rsidRPr="008579BC">
        <w:rPr>
          <w:rFonts w:ascii="Times New Roman" w:hAnsi="Times New Roman" w:cs="Times New Roman"/>
          <w:sz w:val="28"/>
          <w:lang w:val="en-US"/>
        </w:rPr>
        <w:t xml:space="preserve">44(1):193–201. </w:t>
      </w:r>
    </w:p>
    <w:p w14:paraId="06D92C79" w14:textId="6A603D18" w:rsidR="008579BC" w:rsidRPr="008579BC" w:rsidRDefault="008579BC" w:rsidP="009038EB">
      <w:pPr>
        <w:pStyle w:val="a8"/>
        <w:spacing w:line="360" w:lineRule="auto"/>
        <w:contextualSpacing/>
        <w:jc w:val="both"/>
        <w:rPr>
          <w:rFonts w:ascii="Times New Roman" w:hAnsi="Times New Roman" w:cs="Times New Roman"/>
          <w:sz w:val="28"/>
          <w:lang w:val="en-US"/>
        </w:rPr>
      </w:pPr>
      <w:r w:rsidRPr="008579BC">
        <w:rPr>
          <w:rFonts w:ascii="Times New Roman" w:hAnsi="Times New Roman" w:cs="Times New Roman"/>
          <w:sz w:val="28"/>
          <w:lang w:val="en-US"/>
        </w:rPr>
        <w:t>7.</w:t>
      </w:r>
      <w:r w:rsidRPr="008579BC">
        <w:rPr>
          <w:rFonts w:ascii="Times New Roman" w:hAnsi="Times New Roman" w:cs="Times New Roman"/>
          <w:sz w:val="28"/>
          <w:lang w:val="en-US"/>
        </w:rPr>
        <w:tab/>
        <w:t>Tripodi A. Thrombin Generation Assay and Its Application in the Clinical Laboratory. Clin Chem. 2016;</w:t>
      </w:r>
      <w:r>
        <w:rPr>
          <w:rFonts w:ascii="Times New Roman" w:hAnsi="Times New Roman" w:cs="Times New Roman"/>
          <w:sz w:val="28"/>
          <w:lang w:val="en-US"/>
        </w:rPr>
        <w:t xml:space="preserve"> </w:t>
      </w:r>
      <w:r w:rsidRPr="008579BC">
        <w:rPr>
          <w:rFonts w:ascii="Times New Roman" w:hAnsi="Times New Roman" w:cs="Times New Roman"/>
          <w:sz w:val="28"/>
          <w:lang w:val="en-US"/>
        </w:rPr>
        <w:t xml:space="preserve">62(5):699–707. </w:t>
      </w:r>
    </w:p>
    <w:p w14:paraId="548BD747" w14:textId="0EFB2516" w:rsidR="008579BC" w:rsidRPr="008579BC" w:rsidRDefault="008579BC" w:rsidP="009038EB">
      <w:pPr>
        <w:pStyle w:val="a8"/>
        <w:spacing w:line="360" w:lineRule="auto"/>
        <w:contextualSpacing/>
        <w:jc w:val="both"/>
        <w:rPr>
          <w:rFonts w:ascii="Times New Roman" w:hAnsi="Times New Roman" w:cs="Times New Roman"/>
          <w:sz w:val="28"/>
          <w:lang w:val="en-US"/>
        </w:rPr>
      </w:pPr>
      <w:r w:rsidRPr="008579BC">
        <w:rPr>
          <w:rFonts w:ascii="Times New Roman" w:hAnsi="Times New Roman" w:cs="Times New Roman"/>
          <w:sz w:val="28"/>
          <w:lang w:val="en-US"/>
        </w:rPr>
        <w:t>8.</w:t>
      </w:r>
      <w:r w:rsidRPr="008579BC">
        <w:rPr>
          <w:rFonts w:ascii="Times New Roman" w:hAnsi="Times New Roman" w:cs="Times New Roman"/>
          <w:sz w:val="28"/>
          <w:lang w:val="en-US"/>
        </w:rPr>
        <w:tab/>
        <w:t xml:space="preserve">Binder NB, Depasse F, Mueller J, Wissel T, Schwers S, Germer M, </w:t>
      </w:r>
      <w:r w:rsidR="00116A89">
        <w:rPr>
          <w:rFonts w:ascii="Times New Roman" w:hAnsi="Times New Roman" w:cs="Times New Roman"/>
          <w:sz w:val="28"/>
          <w:lang w:val="en-US"/>
        </w:rPr>
        <w:t>et al</w:t>
      </w:r>
      <w:r w:rsidRPr="008579BC">
        <w:rPr>
          <w:rFonts w:ascii="Times New Roman" w:hAnsi="Times New Roman" w:cs="Times New Roman"/>
          <w:sz w:val="28"/>
          <w:lang w:val="en-US"/>
        </w:rPr>
        <w:t xml:space="preserve">. Clinical use of thrombin generation assays. J Thromb Haemost JTH. </w:t>
      </w:r>
      <w:r>
        <w:rPr>
          <w:rFonts w:ascii="Times New Roman" w:hAnsi="Times New Roman" w:cs="Times New Roman"/>
          <w:sz w:val="28"/>
          <w:lang w:val="en-US"/>
        </w:rPr>
        <w:t>2021</w:t>
      </w:r>
      <w:r w:rsidRPr="008579BC">
        <w:rPr>
          <w:rFonts w:ascii="Times New Roman" w:hAnsi="Times New Roman" w:cs="Times New Roman"/>
          <w:sz w:val="28"/>
          <w:lang w:val="en-US"/>
        </w:rPr>
        <w:t>;</w:t>
      </w:r>
      <w:r>
        <w:rPr>
          <w:rFonts w:ascii="Times New Roman" w:hAnsi="Times New Roman" w:cs="Times New Roman"/>
          <w:sz w:val="28"/>
          <w:lang w:val="en-US"/>
        </w:rPr>
        <w:t xml:space="preserve"> </w:t>
      </w:r>
      <w:r w:rsidRPr="008579BC">
        <w:rPr>
          <w:rFonts w:ascii="Times New Roman" w:hAnsi="Times New Roman" w:cs="Times New Roman"/>
          <w:sz w:val="28"/>
          <w:lang w:val="en-US"/>
        </w:rPr>
        <w:t xml:space="preserve">19(12):2918–29. </w:t>
      </w:r>
    </w:p>
    <w:p w14:paraId="13CE96E9" w14:textId="5029EB98" w:rsidR="008579BC" w:rsidRPr="008579BC" w:rsidRDefault="008579BC" w:rsidP="009038EB">
      <w:pPr>
        <w:pStyle w:val="a8"/>
        <w:spacing w:line="360" w:lineRule="auto"/>
        <w:contextualSpacing/>
        <w:jc w:val="both"/>
        <w:rPr>
          <w:rFonts w:ascii="Times New Roman" w:hAnsi="Times New Roman" w:cs="Times New Roman"/>
          <w:sz w:val="28"/>
          <w:lang w:val="en-US"/>
        </w:rPr>
      </w:pPr>
      <w:r w:rsidRPr="008579BC">
        <w:rPr>
          <w:rFonts w:ascii="Times New Roman" w:hAnsi="Times New Roman" w:cs="Times New Roman"/>
          <w:sz w:val="28"/>
          <w:lang w:val="en-US"/>
        </w:rPr>
        <w:t>9.</w:t>
      </w:r>
      <w:r w:rsidRPr="008579BC">
        <w:rPr>
          <w:rFonts w:ascii="Times New Roman" w:hAnsi="Times New Roman" w:cs="Times New Roman"/>
          <w:sz w:val="28"/>
          <w:lang w:val="en-US"/>
        </w:rPr>
        <w:tab/>
        <w:t xml:space="preserve">Perrin J, Depasse F, Lecompte T, French-speaking CAT group and under the aegis of GEHT, French-speaking CAT group (all in France unless otherwise stated): French-speaking CAT group all in France unless otherwise stated. Large external quality assessment survey on thrombin generation with CAT: further evidence for </w:t>
      </w:r>
      <w:r w:rsidRPr="008579BC">
        <w:rPr>
          <w:rFonts w:ascii="Times New Roman" w:hAnsi="Times New Roman" w:cs="Times New Roman"/>
          <w:sz w:val="28"/>
          <w:lang w:val="en-US"/>
        </w:rPr>
        <w:lastRenderedPageBreak/>
        <w:t xml:space="preserve">the usefulness of normalisation with an external reference plasma. Thromb Res. </w:t>
      </w:r>
      <w:r w:rsidRPr="008579BC">
        <w:rPr>
          <w:rFonts w:ascii="Times New Roman" w:hAnsi="Times New Roman" w:cs="Times New Roman"/>
          <w:sz w:val="28"/>
        </w:rPr>
        <w:t>июль</w:t>
      </w:r>
      <w:r>
        <w:rPr>
          <w:rFonts w:ascii="Times New Roman" w:hAnsi="Times New Roman" w:cs="Times New Roman"/>
          <w:sz w:val="28"/>
          <w:lang w:val="en-US"/>
        </w:rPr>
        <w:t xml:space="preserve"> 2015</w:t>
      </w:r>
      <w:r w:rsidRPr="008579BC">
        <w:rPr>
          <w:rFonts w:ascii="Times New Roman" w:hAnsi="Times New Roman" w:cs="Times New Roman"/>
          <w:sz w:val="28"/>
          <w:lang w:val="en-US"/>
        </w:rPr>
        <w:t>;</w:t>
      </w:r>
      <w:r>
        <w:rPr>
          <w:rFonts w:ascii="Times New Roman" w:hAnsi="Times New Roman" w:cs="Times New Roman"/>
          <w:sz w:val="28"/>
          <w:lang w:val="en-US"/>
        </w:rPr>
        <w:t xml:space="preserve"> </w:t>
      </w:r>
      <w:r w:rsidRPr="008579BC">
        <w:rPr>
          <w:rFonts w:ascii="Times New Roman" w:hAnsi="Times New Roman" w:cs="Times New Roman"/>
          <w:sz w:val="28"/>
          <w:lang w:val="en-US"/>
        </w:rPr>
        <w:t xml:space="preserve">136(1):125–30. </w:t>
      </w:r>
    </w:p>
    <w:p w14:paraId="7780337F" w14:textId="04C9F724" w:rsidR="008579BC" w:rsidRPr="008579BC" w:rsidRDefault="008579BC" w:rsidP="009038EB">
      <w:pPr>
        <w:pStyle w:val="a8"/>
        <w:spacing w:line="360" w:lineRule="auto"/>
        <w:contextualSpacing/>
        <w:jc w:val="both"/>
        <w:rPr>
          <w:rFonts w:ascii="Times New Roman" w:hAnsi="Times New Roman" w:cs="Times New Roman"/>
          <w:sz w:val="28"/>
          <w:lang w:val="en-US"/>
        </w:rPr>
      </w:pPr>
      <w:r w:rsidRPr="008579BC">
        <w:rPr>
          <w:rFonts w:ascii="Times New Roman" w:hAnsi="Times New Roman" w:cs="Times New Roman"/>
          <w:sz w:val="28"/>
          <w:lang w:val="en-US"/>
        </w:rPr>
        <w:t>10.</w:t>
      </w:r>
      <w:r w:rsidRPr="008579BC">
        <w:rPr>
          <w:rFonts w:ascii="Times New Roman" w:hAnsi="Times New Roman" w:cs="Times New Roman"/>
          <w:sz w:val="28"/>
          <w:lang w:val="en-US"/>
        </w:rPr>
        <w:tab/>
        <w:t xml:space="preserve">Dargaud Y, Wolberg AS, Gray E, Negrier C, Hemker HC, Subcommittee on Factor VIII, Factor IX, and Rare Coagulation Disorders. Proposal for standardized preanalytical and analytical conditions for measuring thrombin generation in hemophilia: communication from the SSC of the ISTH. J Thromb Haemost JTH. </w:t>
      </w:r>
      <w:r>
        <w:rPr>
          <w:rFonts w:ascii="Times New Roman" w:hAnsi="Times New Roman" w:cs="Times New Roman"/>
          <w:sz w:val="28"/>
          <w:lang w:val="en-US"/>
        </w:rPr>
        <w:t>2017</w:t>
      </w:r>
      <w:r w:rsidRPr="008579BC">
        <w:rPr>
          <w:rFonts w:ascii="Times New Roman" w:hAnsi="Times New Roman" w:cs="Times New Roman"/>
          <w:sz w:val="28"/>
          <w:lang w:val="en-US"/>
        </w:rPr>
        <w:t>;</w:t>
      </w:r>
      <w:r>
        <w:rPr>
          <w:rFonts w:ascii="Times New Roman" w:hAnsi="Times New Roman" w:cs="Times New Roman"/>
          <w:sz w:val="28"/>
          <w:lang w:val="en-US"/>
        </w:rPr>
        <w:t xml:space="preserve"> </w:t>
      </w:r>
      <w:r w:rsidRPr="008579BC">
        <w:rPr>
          <w:rFonts w:ascii="Times New Roman" w:hAnsi="Times New Roman" w:cs="Times New Roman"/>
          <w:sz w:val="28"/>
          <w:lang w:val="en-US"/>
        </w:rPr>
        <w:t xml:space="preserve">15(8):1704–7. </w:t>
      </w:r>
    </w:p>
    <w:p w14:paraId="0C447A96" w14:textId="633A2120" w:rsidR="008579BC" w:rsidRPr="008579BC" w:rsidRDefault="008579BC" w:rsidP="009038EB">
      <w:pPr>
        <w:pStyle w:val="a8"/>
        <w:spacing w:line="360" w:lineRule="auto"/>
        <w:contextualSpacing/>
        <w:jc w:val="both"/>
        <w:rPr>
          <w:rFonts w:ascii="Times New Roman" w:hAnsi="Times New Roman" w:cs="Times New Roman"/>
          <w:sz w:val="28"/>
          <w:lang w:val="en-US"/>
        </w:rPr>
      </w:pPr>
      <w:r w:rsidRPr="008579BC">
        <w:rPr>
          <w:rFonts w:ascii="Times New Roman" w:hAnsi="Times New Roman" w:cs="Times New Roman"/>
          <w:sz w:val="28"/>
          <w:lang w:val="en-US"/>
        </w:rPr>
        <w:t>11.</w:t>
      </w:r>
      <w:r w:rsidRPr="008579BC">
        <w:rPr>
          <w:rFonts w:ascii="Times New Roman" w:hAnsi="Times New Roman" w:cs="Times New Roman"/>
          <w:sz w:val="28"/>
          <w:lang w:val="en-US"/>
        </w:rPr>
        <w:tab/>
        <w:t xml:space="preserve">Clinical and Laboratory Standards Institute, </w:t>
      </w:r>
      <w:r w:rsidRPr="008579BC">
        <w:rPr>
          <w:rFonts w:ascii="Times New Roman" w:hAnsi="Times New Roman" w:cs="Times New Roman"/>
          <w:sz w:val="28"/>
        </w:rPr>
        <w:t>редактор</w:t>
      </w:r>
      <w:r w:rsidRPr="008579BC">
        <w:rPr>
          <w:rFonts w:ascii="Times New Roman" w:hAnsi="Times New Roman" w:cs="Times New Roman"/>
          <w:sz w:val="28"/>
          <w:lang w:val="en-US"/>
        </w:rPr>
        <w:t>. Defining, establishing and verifying reference intervals in the clinical laboratory: approved guideline. 3. ed. Wayne, Pa: Clinical and Labor</w:t>
      </w:r>
      <w:r>
        <w:rPr>
          <w:rFonts w:ascii="Times New Roman" w:hAnsi="Times New Roman" w:cs="Times New Roman"/>
          <w:sz w:val="28"/>
          <w:lang w:val="en-US"/>
        </w:rPr>
        <w:t>atory Standards Institute; 2010</w:t>
      </w:r>
      <w:r w:rsidRPr="008579BC">
        <w:rPr>
          <w:rFonts w:ascii="Times New Roman" w:hAnsi="Times New Roman" w:cs="Times New Roman"/>
          <w:sz w:val="28"/>
          <w:lang w:val="en-US"/>
        </w:rPr>
        <w:t xml:space="preserve"> (Document / Clinical and Laboratory Standards Institute). </w:t>
      </w:r>
    </w:p>
    <w:p w14:paraId="3A1F9240" w14:textId="24EDA7A9" w:rsidR="008579BC" w:rsidRPr="008579BC" w:rsidRDefault="008579BC" w:rsidP="009038EB">
      <w:pPr>
        <w:pStyle w:val="a8"/>
        <w:spacing w:line="360" w:lineRule="auto"/>
        <w:contextualSpacing/>
        <w:jc w:val="both"/>
        <w:rPr>
          <w:rFonts w:ascii="Times New Roman" w:hAnsi="Times New Roman" w:cs="Times New Roman"/>
          <w:sz w:val="28"/>
          <w:lang w:val="en-US"/>
        </w:rPr>
      </w:pPr>
      <w:r w:rsidRPr="008579BC">
        <w:rPr>
          <w:rFonts w:ascii="Times New Roman" w:hAnsi="Times New Roman" w:cs="Times New Roman"/>
          <w:sz w:val="28"/>
          <w:lang w:val="en-US"/>
        </w:rPr>
        <w:t>12.</w:t>
      </w:r>
      <w:r w:rsidRPr="008579BC">
        <w:rPr>
          <w:rFonts w:ascii="Times New Roman" w:hAnsi="Times New Roman" w:cs="Times New Roman"/>
          <w:sz w:val="28"/>
          <w:lang w:val="en-US"/>
        </w:rPr>
        <w:tab/>
        <w:t xml:space="preserve">Melnichnikova OS, Zhilenkova YI, Zolotova EA, Pishchulov KA, Sirotkina OV, Simakova MA, </w:t>
      </w:r>
      <w:r w:rsidR="00116A89">
        <w:rPr>
          <w:rFonts w:ascii="Times New Roman" w:hAnsi="Times New Roman" w:cs="Times New Roman"/>
          <w:sz w:val="28"/>
          <w:lang w:val="en-US"/>
        </w:rPr>
        <w:t>et al</w:t>
      </w:r>
      <w:r w:rsidRPr="008579BC">
        <w:rPr>
          <w:rFonts w:ascii="Times New Roman" w:hAnsi="Times New Roman" w:cs="Times New Roman"/>
          <w:sz w:val="28"/>
          <w:lang w:val="en-US"/>
        </w:rPr>
        <w:t xml:space="preserve">. </w:t>
      </w:r>
      <w:r>
        <w:rPr>
          <w:rFonts w:ascii="Times New Roman" w:hAnsi="Times New Roman" w:cs="Times New Roman"/>
          <w:sz w:val="28"/>
          <w:lang w:val="en-US"/>
        </w:rPr>
        <w:t>T</w:t>
      </w:r>
      <w:r w:rsidRPr="008579BC">
        <w:rPr>
          <w:rFonts w:ascii="Times New Roman" w:hAnsi="Times New Roman" w:cs="Times New Roman"/>
          <w:sz w:val="28"/>
          <w:lang w:val="en-US"/>
        </w:rPr>
        <w:t xml:space="preserve">hrombin generation test as an integral analysis of the hemostasis system: technical capabilities and application in laboratory practice. Russ J Pers Med. </w:t>
      </w:r>
      <w:r>
        <w:rPr>
          <w:rFonts w:ascii="Times New Roman" w:hAnsi="Times New Roman" w:cs="Times New Roman"/>
          <w:sz w:val="28"/>
          <w:lang w:val="en-US"/>
        </w:rPr>
        <w:t>2022</w:t>
      </w:r>
      <w:r w:rsidRPr="008579BC">
        <w:rPr>
          <w:rFonts w:ascii="Times New Roman" w:hAnsi="Times New Roman" w:cs="Times New Roman"/>
          <w:sz w:val="28"/>
          <w:lang w:val="en-US"/>
        </w:rPr>
        <w:t>;</w:t>
      </w:r>
      <w:r>
        <w:rPr>
          <w:rFonts w:ascii="Times New Roman" w:hAnsi="Times New Roman" w:cs="Times New Roman"/>
          <w:sz w:val="28"/>
          <w:lang w:val="en-US"/>
        </w:rPr>
        <w:t xml:space="preserve"> </w:t>
      </w:r>
      <w:r w:rsidRPr="008579BC">
        <w:rPr>
          <w:rFonts w:ascii="Times New Roman" w:hAnsi="Times New Roman" w:cs="Times New Roman"/>
          <w:sz w:val="28"/>
          <w:lang w:val="en-US"/>
        </w:rPr>
        <w:t xml:space="preserve">2(3):119–28. </w:t>
      </w:r>
    </w:p>
    <w:p w14:paraId="683A7F35" w14:textId="754103AB" w:rsidR="008579BC" w:rsidRPr="008579BC" w:rsidRDefault="008579BC" w:rsidP="009038EB">
      <w:pPr>
        <w:pStyle w:val="a8"/>
        <w:spacing w:line="360" w:lineRule="auto"/>
        <w:contextualSpacing/>
        <w:jc w:val="both"/>
        <w:rPr>
          <w:rFonts w:ascii="Times New Roman" w:hAnsi="Times New Roman" w:cs="Times New Roman"/>
          <w:sz w:val="28"/>
          <w:lang w:val="en-US"/>
        </w:rPr>
      </w:pPr>
      <w:r w:rsidRPr="008579BC">
        <w:rPr>
          <w:rFonts w:ascii="Times New Roman" w:hAnsi="Times New Roman" w:cs="Times New Roman"/>
          <w:sz w:val="28"/>
          <w:lang w:val="en-US"/>
        </w:rPr>
        <w:t>13.</w:t>
      </w:r>
      <w:r w:rsidRPr="008579BC">
        <w:rPr>
          <w:rFonts w:ascii="Times New Roman" w:hAnsi="Times New Roman" w:cs="Times New Roman"/>
          <w:sz w:val="28"/>
          <w:lang w:val="en-US"/>
        </w:rPr>
        <w:tab/>
        <w:t xml:space="preserve">de Laat‐Kremers RMW, Ninivaggi M, Devreese KMJ, de Laat B. Towards standardization of thrombin generation assays: Inventory of thrombin generation methods based on results of an International Society of Thrombosis and Haemostasis Scientific Standardization Committee survey. J Thromb Haemost. </w:t>
      </w:r>
      <w:r w:rsidRPr="008579BC">
        <w:rPr>
          <w:rFonts w:ascii="Times New Roman" w:hAnsi="Times New Roman" w:cs="Times New Roman"/>
          <w:sz w:val="28"/>
        </w:rPr>
        <w:t>август</w:t>
      </w:r>
      <w:r>
        <w:rPr>
          <w:rFonts w:ascii="Times New Roman" w:hAnsi="Times New Roman" w:cs="Times New Roman"/>
          <w:sz w:val="28"/>
          <w:lang w:val="en-US"/>
        </w:rPr>
        <w:t xml:space="preserve"> 2020</w:t>
      </w:r>
      <w:r w:rsidRPr="008579BC">
        <w:rPr>
          <w:rFonts w:ascii="Times New Roman" w:hAnsi="Times New Roman" w:cs="Times New Roman"/>
          <w:sz w:val="28"/>
          <w:lang w:val="en-US"/>
        </w:rPr>
        <w:t>;</w:t>
      </w:r>
      <w:r>
        <w:rPr>
          <w:rFonts w:ascii="Times New Roman" w:hAnsi="Times New Roman" w:cs="Times New Roman"/>
          <w:sz w:val="28"/>
          <w:lang w:val="en-US"/>
        </w:rPr>
        <w:t xml:space="preserve"> </w:t>
      </w:r>
      <w:r w:rsidR="003C5E0A">
        <w:rPr>
          <w:rFonts w:ascii="Times New Roman" w:hAnsi="Times New Roman" w:cs="Times New Roman"/>
          <w:sz w:val="28"/>
          <w:lang w:val="en-US"/>
        </w:rPr>
        <w:t>18(8):1893–9.</w:t>
      </w:r>
    </w:p>
    <w:p w14:paraId="4E7A08DE" w14:textId="53C8518B" w:rsidR="003C5E0A" w:rsidRDefault="008579BC" w:rsidP="009038EB">
      <w:pPr>
        <w:pStyle w:val="a8"/>
        <w:spacing w:line="360" w:lineRule="auto"/>
        <w:contextualSpacing/>
        <w:jc w:val="both"/>
        <w:rPr>
          <w:rFonts w:ascii="Times New Roman" w:hAnsi="Times New Roman" w:cs="Times New Roman"/>
          <w:sz w:val="28"/>
          <w:lang w:val="en-US"/>
        </w:rPr>
      </w:pPr>
      <w:r w:rsidRPr="008579BC">
        <w:rPr>
          <w:rFonts w:ascii="Times New Roman" w:hAnsi="Times New Roman" w:cs="Times New Roman"/>
          <w:sz w:val="28"/>
          <w:lang w:val="en-US"/>
        </w:rPr>
        <w:t>14.</w:t>
      </w:r>
      <w:r w:rsidRPr="008579BC">
        <w:rPr>
          <w:rFonts w:ascii="Times New Roman" w:hAnsi="Times New Roman" w:cs="Times New Roman"/>
          <w:sz w:val="28"/>
          <w:lang w:val="en-US"/>
        </w:rPr>
        <w:tab/>
      </w:r>
      <w:r w:rsidR="00E82E69" w:rsidRPr="008579BC">
        <w:rPr>
          <w:rFonts w:ascii="Times New Roman" w:hAnsi="Times New Roman" w:cs="Times New Roman"/>
          <w:sz w:val="28"/>
          <w:lang w:val="en-US"/>
        </w:rPr>
        <w:t xml:space="preserve">Rudez G, Meijer P, Spronk HM, et al. Biological variation in inflammatory and hemostatic markers. </w:t>
      </w:r>
      <w:r w:rsidR="00E82E69" w:rsidRPr="00DE6319">
        <w:rPr>
          <w:rFonts w:ascii="Times New Roman" w:hAnsi="Times New Roman" w:cs="Times New Roman"/>
          <w:sz w:val="28"/>
          <w:lang w:val="en-US"/>
        </w:rPr>
        <w:t>J Thromb Haemost. 2009;</w:t>
      </w:r>
      <w:r w:rsidR="00E82E69">
        <w:rPr>
          <w:rFonts w:ascii="Times New Roman" w:hAnsi="Times New Roman" w:cs="Times New Roman"/>
          <w:sz w:val="28"/>
          <w:lang w:val="en-US"/>
        </w:rPr>
        <w:t xml:space="preserve"> </w:t>
      </w:r>
      <w:r w:rsidR="00E82E69" w:rsidRPr="00DE6319">
        <w:rPr>
          <w:rFonts w:ascii="Times New Roman" w:hAnsi="Times New Roman" w:cs="Times New Roman"/>
          <w:sz w:val="28"/>
          <w:lang w:val="en-US"/>
        </w:rPr>
        <w:t>7(8):1247–55.</w:t>
      </w:r>
    </w:p>
    <w:p w14:paraId="6B772937" w14:textId="4445F96F" w:rsidR="003C5E0A" w:rsidRDefault="008579BC" w:rsidP="009038EB">
      <w:pPr>
        <w:pStyle w:val="a8"/>
        <w:spacing w:line="360" w:lineRule="auto"/>
        <w:contextualSpacing/>
        <w:jc w:val="both"/>
        <w:rPr>
          <w:rFonts w:ascii="Times New Roman" w:hAnsi="Times New Roman" w:cs="Times New Roman"/>
          <w:sz w:val="28"/>
          <w:lang w:val="en-US"/>
        </w:rPr>
      </w:pPr>
      <w:r w:rsidRPr="008579BC">
        <w:rPr>
          <w:rFonts w:ascii="Times New Roman" w:hAnsi="Times New Roman" w:cs="Times New Roman"/>
          <w:sz w:val="28"/>
          <w:lang w:val="en-US"/>
        </w:rPr>
        <w:t>15.</w:t>
      </w:r>
      <w:r w:rsidRPr="008579BC">
        <w:rPr>
          <w:rFonts w:ascii="Times New Roman" w:hAnsi="Times New Roman" w:cs="Times New Roman"/>
          <w:sz w:val="28"/>
          <w:lang w:val="en-US"/>
        </w:rPr>
        <w:tab/>
      </w:r>
      <w:r w:rsidR="00E82E69" w:rsidRPr="008579BC">
        <w:rPr>
          <w:rFonts w:ascii="Times New Roman" w:hAnsi="Times New Roman" w:cs="Times New Roman"/>
          <w:sz w:val="28"/>
          <w:lang w:val="en-US"/>
        </w:rPr>
        <w:t xml:space="preserve">Mairesse A, Bayart J, Desmet S, Lopes Dos Santos H, Saussoy P, Defour J, </w:t>
      </w:r>
      <w:r w:rsidR="00E82E69">
        <w:rPr>
          <w:rFonts w:ascii="Times New Roman" w:hAnsi="Times New Roman" w:cs="Times New Roman"/>
          <w:sz w:val="28"/>
          <w:lang w:val="en-US"/>
        </w:rPr>
        <w:t>et al</w:t>
      </w:r>
      <w:r w:rsidR="00E82E69" w:rsidRPr="008579BC">
        <w:rPr>
          <w:rFonts w:ascii="Times New Roman" w:hAnsi="Times New Roman" w:cs="Times New Roman"/>
          <w:sz w:val="28"/>
          <w:lang w:val="en-US"/>
        </w:rPr>
        <w:t xml:space="preserve">. Biological variation data and analytical specification goal estimates of the thrombin generation assay with and without thrombomodulin in healthy individuals. </w:t>
      </w:r>
      <w:r w:rsidR="00E82E69" w:rsidRPr="00DE6319">
        <w:rPr>
          <w:rFonts w:ascii="Times New Roman" w:hAnsi="Times New Roman" w:cs="Times New Roman"/>
          <w:sz w:val="28"/>
          <w:lang w:val="en-US"/>
        </w:rPr>
        <w:t>Int J Lab Hematol. 2021;</w:t>
      </w:r>
      <w:r w:rsidR="00E82E69">
        <w:rPr>
          <w:rFonts w:ascii="Times New Roman" w:hAnsi="Times New Roman" w:cs="Times New Roman"/>
          <w:sz w:val="28"/>
          <w:lang w:val="en-US"/>
        </w:rPr>
        <w:t xml:space="preserve"> 43(3):450–7.</w:t>
      </w:r>
    </w:p>
    <w:p w14:paraId="1E821E03" w14:textId="327BC01D" w:rsidR="00E82E69" w:rsidRDefault="008579BC" w:rsidP="00E82E69">
      <w:pPr>
        <w:pStyle w:val="a8"/>
        <w:spacing w:line="360" w:lineRule="auto"/>
        <w:contextualSpacing/>
        <w:jc w:val="both"/>
        <w:rPr>
          <w:rFonts w:ascii="Times New Roman" w:hAnsi="Times New Roman" w:cs="Times New Roman"/>
          <w:sz w:val="28"/>
          <w:lang w:val="en-US"/>
        </w:rPr>
      </w:pPr>
      <w:r w:rsidRPr="008579BC">
        <w:rPr>
          <w:rFonts w:ascii="Times New Roman" w:hAnsi="Times New Roman" w:cs="Times New Roman"/>
          <w:sz w:val="28"/>
          <w:lang w:val="en-US"/>
        </w:rPr>
        <w:t>16.</w:t>
      </w:r>
      <w:r w:rsidR="00E82E69" w:rsidRPr="008579BC">
        <w:rPr>
          <w:rFonts w:ascii="Times New Roman" w:hAnsi="Times New Roman" w:cs="Times New Roman"/>
          <w:sz w:val="28"/>
          <w:lang w:val="en-US"/>
        </w:rPr>
        <w:t>Jun Wu. Thrombin generation increasing with age and decreasing with use of heparin indicated by calibrated automated thrombogram conducted in Ch</w:t>
      </w:r>
      <w:r w:rsidR="00E82E69">
        <w:rPr>
          <w:rFonts w:ascii="Times New Roman" w:hAnsi="Times New Roman" w:cs="Times New Roman"/>
          <w:sz w:val="28"/>
          <w:lang w:val="en-US"/>
        </w:rPr>
        <w:t>inese. iomed Environ Sci . 2014</w:t>
      </w:r>
      <w:r w:rsidR="00E82E69" w:rsidRPr="008579BC">
        <w:rPr>
          <w:rFonts w:ascii="Times New Roman" w:hAnsi="Times New Roman" w:cs="Times New Roman"/>
          <w:sz w:val="28"/>
          <w:lang w:val="en-US"/>
        </w:rPr>
        <w:t>;</w:t>
      </w:r>
      <w:r w:rsidR="00E82E69">
        <w:rPr>
          <w:rFonts w:ascii="Times New Roman" w:hAnsi="Times New Roman" w:cs="Times New Roman"/>
          <w:sz w:val="28"/>
          <w:lang w:val="en-US"/>
        </w:rPr>
        <w:t xml:space="preserve"> </w:t>
      </w:r>
      <w:r w:rsidR="00E82E69" w:rsidRPr="008579BC">
        <w:rPr>
          <w:rFonts w:ascii="Times New Roman" w:hAnsi="Times New Roman" w:cs="Times New Roman"/>
          <w:sz w:val="28"/>
          <w:lang w:val="en-US"/>
        </w:rPr>
        <w:t>27(5):378-84.</w:t>
      </w:r>
    </w:p>
    <w:p w14:paraId="428752C5" w14:textId="2962EC3B" w:rsidR="008579BC" w:rsidRDefault="008579BC" w:rsidP="009038EB">
      <w:pPr>
        <w:pStyle w:val="a8"/>
        <w:spacing w:line="360" w:lineRule="auto"/>
        <w:contextualSpacing/>
        <w:jc w:val="both"/>
        <w:rPr>
          <w:rFonts w:ascii="Times New Roman" w:hAnsi="Times New Roman" w:cs="Times New Roman"/>
          <w:sz w:val="28"/>
          <w:lang w:val="en-US"/>
        </w:rPr>
      </w:pPr>
      <w:r w:rsidRPr="008579BC">
        <w:rPr>
          <w:rFonts w:ascii="Times New Roman" w:hAnsi="Times New Roman" w:cs="Times New Roman"/>
          <w:sz w:val="28"/>
          <w:lang w:val="en-US"/>
        </w:rPr>
        <w:lastRenderedPageBreak/>
        <w:t>17.</w:t>
      </w:r>
      <w:r w:rsidR="00E82E69" w:rsidRPr="008579BC">
        <w:rPr>
          <w:rFonts w:ascii="Times New Roman" w:hAnsi="Times New Roman" w:cs="Times New Roman"/>
          <w:sz w:val="28"/>
          <w:lang w:val="en-US"/>
        </w:rPr>
        <w:t>Haidl H, Cimenti C, Leschnik B, Zach D, Muntean W. Age-dependency of thrombin generation measured by means of calibrated automated thrombogra</w:t>
      </w:r>
      <w:r w:rsidR="00E82E69">
        <w:rPr>
          <w:rFonts w:ascii="Times New Roman" w:hAnsi="Times New Roman" w:cs="Times New Roman"/>
          <w:sz w:val="28"/>
          <w:lang w:val="en-US"/>
        </w:rPr>
        <w:t>phy (CAT). Thromb Haemost. 2006</w:t>
      </w:r>
      <w:r w:rsidR="00E82E69" w:rsidRPr="008579BC">
        <w:rPr>
          <w:rFonts w:ascii="Times New Roman" w:hAnsi="Times New Roman" w:cs="Times New Roman"/>
          <w:sz w:val="28"/>
          <w:lang w:val="en-US"/>
        </w:rPr>
        <w:t>;</w:t>
      </w:r>
      <w:r w:rsidR="00E82E69">
        <w:rPr>
          <w:rFonts w:ascii="Times New Roman" w:hAnsi="Times New Roman" w:cs="Times New Roman"/>
          <w:sz w:val="28"/>
          <w:lang w:val="en-US"/>
        </w:rPr>
        <w:t xml:space="preserve"> </w:t>
      </w:r>
      <w:r w:rsidR="00E82E69" w:rsidRPr="008579BC">
        <w:rPr>
          <w:rFonts w:ascii="Times New Roman" w:hAnsi="Times New Roman" w:cs="Times New Roman"/>
          <w:sz w:val="28"/>
          <w:lang w:val="en-US"/>
        </w:rPr>
        <w:t>95(05):772–5.</w:t>
      </w:r>
      <w:r w:rsidRPr="008579BC">
        <w:rPr>
          <w:rFonts w:ascii="Times New Roman" w:hAnsi="Times New Roman" w:cs="Times New Roman"/>
          <w:sz w:val="28"/>
          <w:lang w:val="en-US"/>
        </w:rPr>
        <w:tab/>
      </w:r>
    </w:p>
    <w:p w14:paraId="6B6E040B" w14:textId="769DFD93" w:rsidR="00E82E69" w:rsidRPr="003C5E0A" w:rsidRDefault="008579BC" w:rsidP="00E82E69">
      <w:pPr>
        <w:spacing w:line="360" w:lineRule="auto"/>
        <w:contextualSpacing/>
        <w:rPr>
          <w:lang w:val="en-US"/>
        </w:rPr>
      </w:pPr>
      <w:r w:rsidRPr="008579BC">
        <w:rPr>
          <w:rFonts w:ascii="Times New Roman" w:hAnsi="Times New Roman" w:cs="Times New Roman"/>
          <w:sz w:val="28"/>
          <w:lang w:val="en-US"/>
        </w:rPr>
        <w:t>18.</w:t>
      </w:r>
      <w:r w:rsidR="00E82E69" w:rsidRPr="00E82E69">
        <w:rPr>
          <w:rFonts w:ascii="Times New Roman" w:hAnsi="Times New Roman" w:cs="Times New Roman"/>
          <w:sz w:val="28"/>
          <w:lang w:val="en-US"/>
        </w:rPr>
        <w:t xml:space="preserve"> </w:t>
      </w:r>
      <w:r w:rsidR="00E82E69" w:rsidRPr="003C5E0A">
        <w:rPr>
          <w:rFonts w:ascii="Times New Roman" w:hAnsi="Times New Roman" w:cs="Times New Roman"/>
          <w:sz w:val="28"/>
          <w:lang w:val="en-US"/>
        </w:rPr>
        <w:t>Kausche LE</w:t>
      </w:r>
      <w:r w:rsidR="00E82E69">
        <w:rPr>
          <w:rFonts w:ascii="Times New Roman" w:hAnsi="Times New Roman" w:cs="Times New Roman"/>
          <w:sz w:val="28"/>
          <w:lang w:val="en-US"/>
        </w:rPr>
        <w:t xml:space="preserve">, </w:t>
      </w:r>
      <w:r w:rsidR="00E82E69" w:rsidRPr="003C5E0A">
        <w:rPr>
          <w:rFonts w:ascii="Times New Roman" w:hAnsi="Times New Roman" w:cs="Times New Roman"/>
          <w:sz w:val="28"/>
          <w:lang w:val="en-US"/>
        </w:rPr>
        <w:t>Adler</w:t>
      </w:r>
      <w:r w:rsidR="00E82E69">
        <w:rPr>
          <w:rFonts w:ascii="Times New Roman" w:hAnsi="Times New Roman" w:cs="Times New Roman"/>
          <w:sz w:val="28"/>
          <w:lang w:val="en-US"/>
        </w:rPr>
        <w:t xml:space="preserve"> W</w:t>
      </w:r>
      <w:r w:rsidR="00E82E69" w:rsidRPr="003C5E0A">
        <w:rPr>
          <w:rFonts w:ascii="Times New Roman" w:hAnsi="Times New Roman" w:cs="Times New Roman"/>
          <w:sz w:val="28"/>
          <w:lang w:val="en-US"/>
        </w:rPr>
        <w:t>, Zimmermann</w:t>
      </w:r>
      <w:r w:rsidR="00E82E69">
        <w:rPr>
          <w:rFonts w:ascii="Times New Roman" w:hAnsi="Times New Roman" w:cs="Times New Roman"/>
          <w:sz w:val="28"/>
          <w:lang w:val="en-US"/>
        </w:rPr>
        <w:t xml:space="preserve"> R</w:t>
      </w:r>
      <w:r w:rsidR="00E82E69" w:rsidRPr="003C5E0A">
        <w:rPr>
          <w:rFonts w:ascii="Times New Roman" w:hAnsi="Times New Roman" w:cs="Times New Roman"/>
          <w:sz w:val="28"/>
          <w:lang w:val="en-US"/>
        </w:rPr>
        <w:t>, Hackstein</w:t>
      </w:r>
      <w:r w:rsidR="00E82E69">
        <w:rPr>
          <w:rFonts w:ascii="Times New Roman" w:hAnsi="Times New Roman" w:cs="Times New Roman"/>
          <w:sz w:val="28"/>
          <w:lang w:val="en-US"/>
        </w:rPr>
        <w:t xml:space="preserve"> H et al. </w:t>
      </w:r>
      <w:r w:rsidR="00E82E69" w:rsidRPr="003C5E0A">
        <w:rPr>
          <w:rFonts w:ascii="Times New Roman" w:hAnsi="Times New Roman" w:cs="Times New Roman"/>
          <w:sz w:val="28"/>
          <w:lang w:val="en-US"/>
        </w:rPr>
        <w:t>Thrombin Generation in Fresh and Frozen-Thawed Platelet Poor Plasma - Is there a Difference?</w:t>
      </w:r>
      <w:r w:rsidR="00E82E69" w:rsidRPr="00116A89">
        <w:rPr>
          <w:lang w:val="en-US"/>
        </w:rPr>
        <w:t xml:space="preserve"> </w:t>
      </w:r>
      <w:r w:rsidR="00E82E69" w:rsidRPr="00116A89">
        <w:rPr>
          <w:rFonts w:ascii="Times New Roman" w:hAnsi="Times New Roman" w:cs="Times New Roman"/>
          <w:sz w:val="28"/>
          <w:lang w:val="en-US"/>
        </w:rPr>
        <w:t>Clin Lab</w:t>
      </w:r>
      <w:r w:rsidR="00E82E69">
        <w:rPr>
          <w:rFonts w:ascii="Times New Roman" w:hAnsi="Times New Roman" w:cs="Times New Roman"/>
          <w:sz w:val="28"/>
          <w:lang w:val="en-US"/>
        </w:rPr>
        <w:t>. 2020; 1:</w:t>
      </w:r>
      <w:r w:rsidR="00E82E69" w:rsidRPr="00116A89">
        <w:rPr>
          <w:rFonts w:ascii="Times New Roman" w:hAnsi="Times New Roman" w:cs="Times New Roman"/>
          <w:sz w:val="28"/>
          <w:lang w:val="en-US"/>
        </w:rPr>
        <w:t>66(6)</w:t>
      </w:r>
    </w:p>
    <w:p w14:paraId="51339F6F" w14:textId="732D9483" w:rsidR="003C5E0A" w:rsidRDefault="003C5E0A" w:rsidP="009038EB">
      <w:pPr>
        <w:pStyle w:val="a8"/>
        <w:tabs>
          <w:tab w:val="clear" w:pos="384"/>
          <w:tab w:val="left" w:pos="0"/>
        </w:tabs>
        <w:spacing w:line="360" w:lineRule="auto"/>
        <w:ind w:left="0" w:firstLine="0"/>
        <w:contextualSpacing/>
        <w:jc w:val="both"/>
        <w:rPr>
          <w:rFonts w:ascii="Times New Roman" w:hAnsi="Times New Roman" w:cs="Times New Roman"/>
          <w:sz w:val="28"/>
          <w:lang w:val="en-US"/>
        </w:rPr>
      </w:pPr>
      <w:r>
        <w:rPr>
          <w:rFonts w:ascii="Times New Roman" w:hAnsi="Times New Roman" w:cs="Times New Roman"/>
          <w:sz w:val="28"/>
          <w:lang w:val="en-US"/>
        </w:rPr>
        <w:t>19.</w:t>
      </w:r>
      <w:r w:rsidRPr="008579BC">
        <w:rPr>
          <w:rFonts w:ascii="Times New Roman" w:hAnsi="Times New Roman" w:cs="Times New Roman"/>
          <w:sz w:val="28"/>
          <w:lang w:val="en-US"/>
        </w:rPr>
        <w:t>Mori F, Genuardo C, Nannizzi S, Farina C. Intra‐ a</w:t>
      </w:r>
      <w:r>
        <w:rPr>
          <w:rFonts w:ascii="Times New Roman" w:hAnsi="Times New Roman" w:cs="Times New Roman"/>
          <w:sz w:val="28"/>
          <w:lang w:val="en-US"/>
        </w:rPr>
        <w:t xml:space="preserve">nd interassay variations of two </w:t>
      </w:r>
      <w:r w:rsidRPr="008579BC">
        <w:rPr>
          <w:rFonts w:ascii="Times New Roman" w:hAnsi="Times New Roman" w:cs="Times New Roman"/>
          <w:sz w:val="28"/>
          <w:lang w:val="en-US"/>
        </w:rPr>
        <w:t>thrombin generation methods. Int J Lab Hematol</w:t>
      </w:r>
      <w:r>
        <w:rPr>
          <w:rFonts w:ascii="Times New Roman" w:hAnsi="Times New Roman" w:cs="Times New Roman"/>
          <w:sz w:val="28"/>
          <w:lang w:val="en-US"/>
        </w:rPr>
        <w:t>.</w:t>
      </w:r>
      <w:r w:rsidRPr="008579BC">
        <w:rPr>
          <w:rFonts w:ascii="Times New Roman" w:hAnsi="Times New Roman" w:cs="Times New Roman"/>
          <w:sz w:val="28"/>
          <w:lang w:val="en-US"/>
        </w:rPr>
        <w:t xml:space="preserve"> 2021;</w:t>
      </w:r>
      <w:r>
        <w:rPr>
          <w:rFonts w:ascii="Times New Roman" w:hAnsi="Times New Roman" w:cs="Times New Roman"/>
          <w:sz w:val="28"/>
          <w:lang w:val="en-US"/>
        </w:rPr>
        <w:t xml:space="preserve"> </w:t>
      </w:r>
      <w:r w:rsidRPr="008579BC">
        <w:rPr>
          <w:rFonts w:ascii="Times New Roman" w:hAnsi="Times New Roman" w:cs="Times New Roman"/>
          <w:sz w:val="28"/>
          <w:lang w:val="en-US"/>
        </w:rPr>
        <w:t>43(4).</w:t>
      </w:r>
    </w:p>
    <w:p w14:paraId="25F2A63F" w14:textId="77777777" w:rsidR="003C5E0A" w:rsidRDefault="008579BC" w:rsidP="009038EB">
      <w:pPr>
        <w:pStyle w:val="a8"/>
        <w:tabs>
          <w:tab w:val="clear" w:pos="384"/>
          <w:tab w:val="left" w:pos="0"/>
        </w:tabs>
        <w:spacing w:line="360" w:lineRule="auto"/>
        <w:ind w:left="0" w:firstLine="0"/>
        <w:contextualSpacing/>
        <w:jc w:val="both"/>
        <w:rPr>
          <w:rFonts w:ascii="Times New Roman" w:hAnsi="Times New Roman" w:cs="Times New Roman"/>
          <w:sz w:val="28"/>
          <w:lang w:val="en-US"/>
        </w:rPr>
      </w:pPr>
      <w:r w:rsidRPr="008579BC">
        <w:rPr>
          <w:rFonts w:ascii="Times New Roman" w:hAnsi="Times New Roman" w:cs="Times New Roman"/>
          <w:sz w:val="28"/>
          <w:lang w:val="en-US"/>
        </w:rPr>
        <w:t>20.</w:t>
      </w:r>
      <w:r w:rsidR="003C5E0A" w:rsidRPr="003C5E0A">
        <w:rPr>
          <w:rFonts w:ascii="Times New Roman" w:hAnsi="Times New Roman" w:cs="Times New Roman"/>
          <w:sz w:val="28"/>
          <w:lang w:val="en-US"/>
        </w:rPr>
        <w:t xml:space="preserve"> </w:t>
      </w:r>
      <w:r w:rsidR="003C5E0A" w:rsidRPr="008579BC">
        <w:rPr>
          <w:rFonts w:ascii="Times New Roman" w:hAnsi="Times New Roman" w:cs="Times New Roman"/>
          <w:sz w:val="28"/>
          <w:lang w:val="en-US"/>
        </w:rPr>
        <w:t xml:space="preserve">Chandler WL, Roshal M. Optimization of Plasma Fluorogenic Thrombin-Generation Assays. Am J Clin Pathol. </w:t>
      </w:r>
      <w:r w:rsidR="003C5E0A">
        <w:rPr>
          <w:rFonts w:ascii="Times New Roman" w:hAnsi="Times New Roman" w:cs="Times New Roman"/>
          <w:sz w:val="28"/>
          <w:lang w:val="en-US"/>
        </w:rPr>
        <w:t>2009</w:t>
      </w:r>
      <w:r w:rsidR="003C5E0A" w:rsidRPr="008579BC">
        <w:rPr>
          <w:rFonts w:ascii="Times New Roman" w:hAnsi="Times New Roman" w:cs="Times New Roman"/>
          <w:sz w:val="28"/>
          <w:lang w:val="en-US"/>
        </w:rPr>
        <w:t>;</w:t>
      </w:r>
      <w:r w:rsidR="003C5E0A">
        <w:rPr>
          <w:rFonts w:ascii="Times New Roman" w:hAnsi="Times New Roman" w:cs="Times New Roman"/>
          <w:sz w:val="28"/>
          <w:lang w:val="en-US"/>
        </w:rPr>
        <w:t xml:space="preserve"> </w:t>
      </w:r>
      <w:r w:rsidR="003C5E0A" w:rsidRPr="008579BC">
        <w:rPr>
          <w:rFonts w:ascii="Times New Roman" w:hAnsi="Times New Roman" w:cs="Times New Roman"/>
          <w:sz w:val="28"/>
          <w:lang w:val="en-US"/>
        </w:rPr>
        <w:t>132(2):169–79.</w:t>
      </w:r>
    </w:p>
    <w:p w14:paraId="2222B6EF" w14:textId="01F4C33D" w:rsidR="003C5E0A" w:rsidRPr="003C5E0A" w:rsidRDefault="008579BC" w:rsidP="009038EB">
      <w:pPr>
        <w:pStyle w:val="a8"/>
        <w:tabs>
          <w:tab w:val="clear" w:pos="384"/>
          <w:tab w:val="left" w:pos="0"/>
        </w:tabs>
        <w:spacing w:line="360" w:lineRule="auto"/>
        <w:ind w:left="0" w:firstLine="0"/>
        <w:contextualSpacing/>
        <w:jc w:val="both"/>
        <w:rPr>
          <w:lang w:val="en-US"/>
        </w:rPr>
      </w:pPr>
      <w:r w:rsidRPr="008579BC">
        <w:rPr>
          <w:rFonts w:ascii="Times New Roman" w:hAnsi="Times New Roman" w:cs="Times New Roman"/>
          <w:sz w:val="28"/>
          <w:lang w:val="en-US"/>
        </w:rPr>
        <w:t>21.</w:t>
      </w:r>
      <w:r w:rsidR="003C5E0A" w:rsidRPr="008579BC">
        <w:rPr>
          <w:rFonts w:ascii="Times New Roman" w:hAnsi="Times New Roman" w:cs="Times New Roman"/>
          <w:sz w:val="28"/>
          <w:lang w:val="en-US"/>
        </w:rPr>
        <w:t xml:space="preserve">Kintigh J, Monagle P, Ignjatovic V. A review of commercially available thrombin generation assays. Res Pract Thromb Haemost. </w:t>
      </w:r>
      <w:r w:rsidR="003C5E0A">
        <w:rPr>
          <w:rFonts w:ascii="Times New Roman" w:hAnsi="Times New Roman" w:cs="Times New Roman"/>
          <w:sz w:val="28"/>
          <w:lang w:val="en-US"/>
        </w:rPr>
        <w:t>2018</w:t>
      </w:r>
      <w:r w:rsidR="003C5E0A" w:rsidRPr="008579BC">
        <w:rPr>
          <w:rFonts w:ascii="Times New Roman" w:hAnsi="Times New Roman" w:cs="Times New Roman"/>
          <w:sz w:val="28"/>
          <w:lang w:val="en-US"/>
        </w:rPr>
        <w:t>;</w:t>
      </w:r>
      <w:r w:rsidR="003C5E0A">
        <w:rPr>
          <w:rFonts w:ascii="Times New Roman" w:hAnsi="Times New Roman" w:cs="Times New Roman"/>
          <w:sz w:val="28"/>
          <w:lang w:val="en-US"/>
        </w:rPr>
        <w:t xml:space="preserve"> </w:t>
      </w:r>
      <w:r w:rsidR="003C5E0A" w:rsidRPr="008579BC">
        <w:rPr>
          <w:rFonts w:ascii="Times New Roman" w:hAnsi="Times New Roman" w:cs="Times New Roman"/>
          <w:sz w:val="28"/>
          <w:lang w:val="en-US"/>
        </w:rPr>
        <w:t>2(1):42–8.</w:t>
      </w:r>
    </w:p>
    <w:p w14:paraId="11350CC1" w14:textId="61C414EF" w:rsidR="003C5E0A" w:rsidRDefault="007030F6" w:rsidP="009038EB">
      <w:pPr>
        <w:pStyle w:val="a8"/>
        <w:tabs>
          <w:tab w:val="clear" w:pos="384"/>
          <w:tab w:val="left" w:pos="0"/>
        </w:tabs>
        <w:spacing w:line="360" w:lineRule="auto"/>
        <w:ind w:left="0" w:firstLine="0"/>
        <w:contextualSpacing/>
        <w:jc w:val="both"/>
        <w:rPr>
          <w:rFonts w:ascii="Times New Roman" w:hAnsi="Times New Roman" w:cs="Times New Roman"/>
          <w:sz w:val="28"/>
          <w:lang w:val="en-US"/>
        </w:rPr>
      </w:pPr>
      <w:r>
        <w:rPr>
          <w:rFonts w:ascii="Times New Roman" w:hAnsi="Times New Roman" w:cs="Times New Roman"/>
          <w:sz w:val="28"/>
          <w:lang w:val="en-US"/>
        </w:rPr>
        <w:t>22.</w:t>
      </w:r>
      <w:r w:rsidR="003C5E0A" w:rsidRPr="003C5E0A">
        <w:rPr>
          <w:rFonts w:ascii="Times New Roman" w:hAnsi="Times New Roman" w:cs="Times New Roman"/>
          <w:sz w:val="28"/>
          <w:lang w:val="en-US"/>
        </w:rPr>
        <w:t xml:space="preserve"> </w:t>
      </w:r>
      <w:r w:rsidR="003C5E0A" w:rsidRPr="008579BC">
        <w:rPr>
          <w:rFonts w:ascii="Times New Roman" w:hAnsi="Times New Roman" w:cs="Times New Roman"/>
          <w:sz w:val="28"/>
          <w:lang w:val="en-US"/>
        </w:rPr>
        <w:t>Depasse F, Binder NB, Mueller J</w:t>
      </w:r>
      <w:r w:rsidR="00116A89">
        <w:rPr>
          <w:rFonts w:ascii="Times New Roman" w:hAnsi="Times New Roman" w:cs="Times New Roman"/>
          <w:sz w:val="28"/>
          <w:lang w:val="en-US"/>
        </w:rPr>
        <w:t>, Wissel T, Schwers S, Germer M</w:t>
      </w:r>
      <w:r w:rsidR="003C5E0A" w:rsidRPr="008579BC">
        <w:rPr>
          <w:rFonts w:ascii="Times New Roman" w:hAnsi="Times New Roman" w:cs="Times New Roman"/>
          <w:sz w:val="28"/>
          <w:lang w:val="en-US"/>
        </w:rPr>
        <w:t xml:space="preserve"> </w:t>
      </w:r>
      <w:r w:rsidR="00116A89">
        <w:rPr>
          <w:rFonts w:ascii="Times New Roman" w:hAnsi="Times New Roman" w:cs="Times New Roman"/>
          <w:sz w:val="28"/>
          <w:lang w:val="en-US"/>
        </w:rPr>
        <w:t>et al</w:t>
      </w:r>
      <w:r w:rsidR="003C5E0A" w:rsidRPr="008579BC">
        <w:rPr>
          <w:rFonts w:ascii="Times New Roman" w:hAnsi="Times New Roman" w:cs="Times New Roman"/>
          <w:sz w:val="28"/>
          <w:lang w:val="en-US"/>
        </w:rPr>
        <w:t xml:space="preserve"> Thrombin generation assays are versatile tools in blood coagulation analysis: A review of technical features, and applications from research to laboratory routine. </w:t>
      </w:r>
      <w:r w:rsidR="003C5E0A" w:rsidRPr="007030F6">
        <w:rPr>
          <w:rFonts w:ascii="Times New Roman" w:hAnsi="Times New Roman" w:cs="Times New Roman"/>
          <w:sz w:val="28"/>
          <w:lang w:val="en-US"/>
        </w:rPr>
        <w:t>J Thromb Haemost JTH. 2021;</w:t>
      </w:r>
      <w:r w:rsidR="003C5E0A">
        <w:rPr>
          <w:rFonts w:ascii="Times New Roman" w:hAnsi="Times New Roman" w:cs="Times New Roman"/>
          <w:sz w:val="28"/>
          <w:lang w:val="en-US"/>
        </w:rPr>
        <w:t xml:space="preserve"> 19(12):2907–17.</w:t>
      </w:r>
    </w:p>
    <w:p w14:paraId="7B2AD164" w14:textId="6F070100" w:rsidR="003C5E0A" w:rsidRPr="003C5E0A" w:rsidRDefault="003C5E0A" w:rsidP="009038EB">
      <w:pPr>
        <w:pStyle w:val="a8"/>
        <w:tabs>
          <w:tab w:val="clear" w:pos="384"/>
          <w:tab w:val="left" w:pos="0"/>
        </w:tabs>
        <w:spacing w:line="360" w:lineRule="auto"/>
        <w:ind w:left="0" w:firstLine="0"/>
        <w:contextualSpacing/>
        <w:jc w:val="both"/>
        <w:rPr>
          <w:lang w:val="en-US"/>
        </w:rPr>
      </w:pPr>
      <w:r>
        <w:rPr>
          <w:rFonts w:ascii="Times New Roman" w:hAnsi="Times New Roman" w:cs="Times New Roman"/>
          <w:sz w:val="28"/>
          <w:lang w:val="en-US"/>
        </w:rPr>
        <w:t xml:space="preserve">23. </w:t>
      </w:r>
      <w:r w:rsidRPr="008579BC">
        <w:rPr>
          <w:rFonts w:ascii="Times New Roman" w:hAnsi="Times New Roman" w:cs="Times New Roman"/>
          <w:sz w:val="28"/>
          <w:lang w:val="en-US"/>
        </w:rPr>
        <w:t xml:space="preserve">Dargaud Y, Wolberg AS, Luddington R, Regnault V, Spronk H, Baglin T, </w:t>
      </w:r>
      <w:r w:rsidR="00116A89">
        <w:rPr>
          <w:rFonts w:ascii="Times New Roman" w:hAnsi="Times New Roman" w:cs="Times New Roman"/>
          <w:sz w:val="28"/>
          <w:lang w:val="en-US"/>
        </w:rPr>
        <w:t>et al</w:t>
      </w:r>
      <w:r w:rsidRPr="008579BC">
        <w:rPr>
          <w:rFonts w:ascii="Times New Roman" w:hAnsi="Times New Roman" w:cs="Times New Roman"/>
          <w:sz w:val="28"/>
          <w:lang w:val="en-US"/>
        </w:rPr>
        <w:t>. Evaluation of a standardized protocol for thrombin generation measurement using the calibrated automated thrombogram: an international multicentre study. Thromb</w:t>
      </w:r>
      <w:r w:rsidRPr="00487ED8">
        <w:rPr>
          <w:rFonts w:ascii="Times New Roman" w:hAnsi="Times New Roman" w:cs="Times New Roman"/>
          <w:sz w:val="28"/>
        </w:rPr>
        <w:t xml:space="preserve"> </w:t>
      </w:r>
      <w:r w:rsidRPr="008579BC">
        <w:rPr>
          <w:rFonts w:ascii="Times New Roman" w:hAnsi="Times New Roman" w:cs="Times New Roman"/>
          <w:sz w:val="28"/>
          <w:lang w:val="en-US"/>
        </w:rPr>
        <w:t>Res</w:t>
      </w:r>
      <w:r w:rsidRPr="00487ED8">
        <w:rPr>
          <w:rFonts w:ascii="Times New Roman" w:hAnsi="Times New Roman" w:cs="Times New Roman"/>
          <w:sz w:val="28"/>
        </w:rPr>
        <w:t>. 2012; 130(6):929–34.</w:t>
      </w:r>
    </w:p>
    <w:p w14:paraId="17C0E6B2" w14:textId="1804B765" w:rsidR="00870FA1" w:rsidRDefault="00DC7512" w:rsidP="009038EB">
      <w:pPr>
        <w:pStyle w:val="Standard"/>
        <w:spacing w:line="360" w:lineRule="auto"/>
        <w:ind w:firstLine="708"/>
        <w:contextualSpacing/>
        <w:jc w:val="both"/>
        <w:rPr>
          <w:b/>
          <w:sz w:val="28"/>
          <w:szCs w:val="28"/>
        </w:rPr>
      </w:pPr>
      <w:r w:rsidRPr="00367D16">
        <w:rPr>
          <w:rFonts w:cs="Times New Roman"/>
          <w:sz w:val="28"/>
          <w:szCs w:val="28"/>
          <w:lang w:val="en-US"/>
        </w:rPr>
        <w:fldChar w:fldCharType="end"/>
      </w:r>
      <w:r w:rsidR="001D3148" w:rsidRPr="001D3148">
        <w:rPr>
          <w:b/>
          <w:sz w:val="28"/>
          <w:szCs w:val="28"/>
        </w:rPr>
        <w:t xml:space="preserve"> </w:t>
      </w:r>
      <w:r w:rsidR="001D3148" w:rsidRPr="006A079A">
        <w:rPr>
          <w:b/>
          <w:sz w:val="28"/>
          <w:szCs w:val="28"/>
        </w:rPr>
        <w:t>Сведения об авторах:</w:t>
      </w:r>
    </w:p>
    <w:p w14:paraId="07FC4DF3" w14:textId="77777777" w:rsidR="00CA6AB7" w:rsidRPr="006A079A" w:rsidRDefault="00CA6AB7" w:rsidP="00870FA1">
      <w:pPr>
        <w:pStyle w:val="Standard"/>
        <w:ind w:firstLine="708"/>
        <w:contextualSpacing/>
        <w:jc w:val="both"/>
        <w:rPr>
          <w:b/>
          <w:sz w:val="28"/>
          <w:szCs w:val="28"/>
        </w:rPr>
      </w:pPr>
    </w:p>
    <w:p w14:paraId="290027A9" w14:textId="77777777" w:rsidR="001D3148" w:rsidRPr="006A079A" w:rsidRDefault="001D3148" w:rsidP="0040071C">
      <w:pPr>
        <w:pStyle w:val="a9"/>
        <w:spacing w:before="0" w:beforeAutospacing="0" w:after="0" w:afterAutospacing="0" w:line="480" w:lineRule="auto"/>
        <w:ind w:firstLine="709"/>
        <w:contextualSpacing/>
        <w:jc w:val="both"/>
        <w:rPr>
          <w:sz w:val="28"/>
          <w:szCs w:val="28"/>
        </w:rPr>
      </w:pPr>
      <w:r w:rsidRPr="006A079A">
        <w:rPr>
          <w:i/>
          <w:iCs/>
          <w:color w:val="000000"/>
          <w:sz w:val="28"/>
          <w:szCs w:val="28"/>
        </w:rPr>
        <w:t>Золотова Екатерина Алексеевна</w:t>
      </w:r>
      <w:r w:rsidRPr="006A079A">
        <w:rPr>
          <w:color w:val="000000"/>
          <w:sz w:val="28"/>
          <w:szCs w:val="28"/>
        </w:rPr>
        <w:t xml:space="preserve"> – </w:t>
      </w:r>
      <w:r w:rsidRPr="006A079A">
        <w:rPr>
          <w:sz w:val="28"/>
          <w:szCs w:val="28"/>
        </w:rPr>
        <w:t xml:space="preserve">аспирант кафедры лабораторной медицины и генетики. </w:t>
      </w:r>
    </w:p>
    <w:p w14:paraId="05FE51A5" w14:textId="748693E0" w:rsidR="001D3148" w:rsidRDefault="001D3148" w:rsidP="0040071C">
      <w:pPr>
        <w:pStyle w:val="a9"/>
        <w:spacing w:before="0" w:beforeAutospacing="0" w:after="0" w:afterAutospacing="0" w:line="480" w:lineRule="auto"/>
        <w:ind w:firstLine="709"/>
        <w:contextualSpacing/>
        <w:jc w:val="both"/>
        <w:rPr>
          <w:rFonts w:eastAsia="Times New Roman"/>
          <w:sz w:val="28"/>
          <w:szCs w:val="28"/>
        </w:rPr>
      </w:pPr>
      <w:r w:rsidRPr="001D3148">
        <w:rPr>
          <w:rStyle w:val="af1"/>
          <w:i/>
          <w:color w:val="auto"/>
          <w:sz w:val="28"/>
          <w:szCs w:val="28"/>
          <w:u w:val="none"/>
        </w:rPr>
        <w:t xml:space="preserve">Мельничникова Ольга Сергеевна – </w:t>
      </w:r>
      <w:r w:rsidRPr="001D3148">
        <w:rPr>
          <w:sz w:val="28"/>
          <w:szCs w:val="28"/>
        </w:rPr>
        <w:t>кандидат медицинских наук</w:t>
      </w:r>
      <w:r w:rsidRPr="001D3148">
        <w:rPr>
          <w:rStyle w:val="af1"/>
          <w:i/>
          <w:color w:val="auto"/>
          <w:sz w:val="28"/>
          <w:szCs w:val="28"/>
          <w:u w:val="none"/>
        </w:rPr>
        <w:t xml:space="preserve">, </w:t>
      </w:r>
      <w:r w:rsidRPr="001D3148">
        <w:rPr>
          <w:rStyle w:val="af1"/>
          <w:color w:val="auto"/>
          <w:sz w:val="28"/>
          <w:szCs w:val="28"/>
          <w:u w:val="none"/>
        </w:rPr>
        <w:t xml:space="preserve">старший научный сотрудник </w:t>
      </w:r>
      <w:r w:rsidRPr="001D3148">
        <w:rPr>
          <w:rFonts w:eastAsia="Times New Roman"/>
          <w:sz w:val="28"/>
          <w:szCs w:val="28"/>
        </w:rPr>
        <w:t xml:space="preserve">научно-исследовательской группы кардиоонкология </w:t>
      </w:r>
      <w:r w:rsidRPr="006A079A">
        <w:rPr>
          <w:rFonts w:eastAsia="Times New Roman"/>
          <w:sz w:val="28"/>
          <w:szCs w:val="28"/>
        </w:rPr>
        <w:lastRenderedPageBreak/>
        <w:t xml:space="preserve">научно-исследовательского центра </w:t>
      </w:r>
      <w:r w:rsidR="009445B8">
        <w:rPr>
          <w:rFonts w:eastAsia="Times New Roman"/>
          <w:sz w:val="28"/>
          <w:szCs w:val="28"/>
        </w:rPr>
        <w:t>персонализированной медицины на</w:t>
      </w:r>
      <w:r w:rsidRPr="006A079A">
        <w:rPr>
          <w:rFonts w:eastAsia="Times New Roman"/>
          <w:sz w:val="28"/>
          <w:szCs w:val="28"/>
        </w:rPr>
        <w:t xml:space="preserve">учного центра мирового уровня «Центр персонализированной медицины». </w:t>
      </w:r>
    </w:p>
    <w:p w14:paraId="088ED2DA" w14:textId="64C23F1C" w:rsidR="001D3148" w:rsidRPr="006A079A" w:rsidRDefault="001D3148" w:rsidP="0040071C">
      <w:pPr>
        <w:pStyle w:val="a9"/>
        <w:spacing w:before="0" w:beforeAutospacing="0" w:after="0" w:afterAutospacing="0" w:line="480" w:lineRule="auto"/>
        <w:ind w:firstLine="709"/>
        <w:contextualSpacing/>
        <w:jc w:val="both"/>
        <w:rPr>
          <w:sz w:val="28"/>
          <w:szCs w:val="28"/>
        </w:rPr>
      </w:pPr>
      <w:r w:rsidRPr="006A079A">
        <w:rPr>
          <w:i/>
          <w:iCs/>
          <w:sz w:val="28"/>
          <w:szCs w:val="28"/>
        </w:rPr>
        <w:t xml:space="preserve">Симакова Мария Александровна </w:t>
      </w:r>
      <w:r w:rsidRPr="006A079A">
        <w:rPr>
          <w:sz w:val="28"/>
          <w:szCs w:val="28"/>
        </w:rPr>
        <w:t xml:space="preserve">— кандидат медицинских наук, старший научный сотрудник научно-исследовательской лаборатории кардиомиопатий, руководитель </w:t>
      </w:r>
      <w:r w:rsidRPr="006A079A">
        <w:rPr>
          <w:rFonts w:eastAsia="Times New Roman"/>
          <w:sz w:val="28"/>
          <w:szCs w:val="28"/>
        </w:rPr>
        <w:t xml:space="preserve">научно-исследовательской группы кардиоонкология научно-исследовательского центра </w:t>
      </w:r>
      <w:r w:rsidR="009445B8">
        <w:rPr>
          <w:rFonts w:eastAsia="Times New Roman"/>
          <w:sz w:val="28"/>
          <w:szCs w:val="28"/>
        </w:rPr>
        <w:t>персонализированной медицины на</w:t>
      </w:r>
      <w:r w:rsidRPr="006A079A">
        <w:rPr>
          <w:rFonts w:eastAsia="Times New Roman"/>
          <w:sz w:val="28"/>
          <w:szCs w:val="28"/>
        </w:rPr>
        <w:t>учного центра мирового уровня «Центр персонализированной медицины».</w:t>
      </w:r>
      <w:r w:rsidRPr="006A079A">
        <w:rPr>
          <w:sz w:val="28"/>
          <w:szCs w:val="28"/>
        </w:rPr>
        <w:t xml:space="preserve"> </w:t>
      </w:r>
    </w:p>
    <w:p w14:paraId="6A3BB99A" w14:textId="77777777" w:rsidR="001D3148" w:rsidRPr="006A079A" w:rsidRDefault="001D3148" w:rsidP="0040071C">
      <w:pPr>
        <w:pStyle w:val="a9"/>
        <w:spacing w:before="0" w:beforeAutospacing="0" w:after="0" w:afterAutospacing="0" w:line="480" w:lineRule="auto"/>
        <w:ind w:firstLine="709"/>
        <w:contextualSpacing/>
        <w:jc w:val="both"/>
        <w:rPr>
          <w:sz w:val="28"/>
          <w:szCs w:val="28"/>
        </w:rPr>
      </w:pPr>
      <w:r w:rsidRPr="006A079A">
        <w:rPr>
          <w:i/>
          <w:iCs/>
          <w:color w:val="000000"/>
          <w:sz w:val="28"/>
          <w:szCs w:val="28"/>
        </w:rPr>
        <w:t>Жиленкова Юлия Исмаиловна</w:t>
      </w:r>
      <w:r w:rsidRPr="006A079A">
        <w:rPr>
          <w:color w:val="000000"/>
          <w:sz w:val="28"/>
          <w:szCs w:val="28"/>
        </w:rPr>
        <w:t xml:space="preserve"> - </w:t>
      </w:r>
      <w:r w:rsidRPr="006A079A">
        <w:rPr>
          <w:sz w:val="28"/>
          <w:szCs w:val="28"/>
        </w:rPr>
        <w:t xml:space="preserve">кандидат медицинских наук, доцент кафедры лабораторной медицины и генетики. </w:t>
      </w:r>
    </w:p>
    <w:p w14:paraId="104C42EF" w14:textId="77777777" w:rsidR="001D3148" w:rsidRPr="006A079A" w:rsidRDefault="001D3148" w:rsidP="0040071C">
      <w:pPr>
        <w:pStyle w:val="a9"/>
        <w:spacing w:before="0" w:beforeAutospacing="0" w:after="0" w:afterAutospacing="0" w:line="480" w:lineRule="auto"/>
        <w:ind w:firstLine="709"/>
        <w:contextualSpacing/>
        <w:jc w:val="both"/>
        <w:rPr>
          <w:sz w:val="28"/>
          <w:szCs w:val="28"/>
        </w:rPr>
      </w:pPr>
      <w:r w:rsidRPr="006A079A">
        <w:rPr>
          <w:i/>
          <w:iCs/>
          <w:color w:val="000000"/>
          <w:sz w:val="28"/>
          <w:szCs w:val="28"/>
        </w:rPr>
        <w:t>Сироткина Ольга Васильевна</w:t>
      </w:r>
      <w:r w:rsidRPr="006A079A">
        <w:rPr>
          <w:color w:val="000000"/>
          <w:sz w:val="28"/>
          <w:szCs w:val="28"/>
        </w:rPr>
        <w:t xml:space="preserve"> </w:t>
      </w:r>
      <w:r w:rsidRPr="006A079A">
        <w:rPr>
          <w:sz w:val="28"/>
          <w:szCs w:val="28"/>
        </w:rPr>
        <w:t>Сироткина Ольга Васильевна — доктор биологических наук, профессор кафедры лабораторной медицины и генетики; ведущий научный сотрудник лаборатории молекулярной генетики человека; старший научный сотрудник отдела молекулярно-генетических и нанобиологических технологий</w:t>
      </w:r>
    </w:p>
    <w:p w14:paraId="58B07336" w14:textId="67EA9022" w:rsidR="001D3148" w:rsidRPr="006A079A" w:rsidRDefault="001D3148" w:rsidP="0040071C">
      <w:pPr>
        <w:pStyle w:val="a9"/>
        <w:spacing w:before="0" w:beforeAutospacing="0" w:after="0" w:afterAutospacing="0" w:line="480" w:lineRule="auto"/>
        <w:ind w:firstLine="709"/>
        <w:contextualSpacing/>
        <w:jc w:val="both"/>
        <w:rPr>
          <w:rStyle w:val="af1"/>
          <w:sz w:val="28"/>
          <w:szCs w:val="28"/>
        </w:rPr>
      </w:pPr>
      <w:r w:rsidRPr="006A079A">
        <w:rPr>
          <w:i/>
          <w:iCs/>
          <w:sz w:val="28"/>
          <w:szCs w:val="28"/>
        </w:rPr>
        <w:t>Вавилова Татьяна Владимировна</w:t>
      </w:r>
      <w:r w:rsidRPr="006A079A">
        <w:rPr>
          <w:sz w:val="28"/>
          <w:szCs w:val="28"/>
        </w:rPr>
        <w:t xml:space="preserve"> – доктор медицинских наук, профессор, заведующий</w:t>
      </w:r>
      <w:r w:rsidR="006968C3">
        <w:rPr>
          <w:sz w:val="28"/>
          <w:szCs w:val="28"/>
        </w:rPr>
        <w:t xml:space="preserve"> кафедрой</w:t>
      </w:r>
      <w:r w:rsidRPr="006A079A">
        <w:rPr>
          <w:sz w:val="28"/>
          <w:szCs w:val="28"/>
        </w:rPr>
        <w:t xml:space="preserve"> лабораторной медицины и генетики. </w:t>
      </w:r>
    </w:p>
    <w:p w14:paraId="0440B4CA" w14:textId="77777777" w:rsidR="001D3148" w:rsidRPr="006A079A" w:rsidRDefault="001D3148" w:rsidP="0040071C">
      <w:pPr>
        <w:pStyle w:val="a9"/>
        <w:spacing w:before="0" w:beforeAutospacing="0" w:after="0" w:afterAutospacing="0" w:line="480" w:lineRule="auto"/>
        <w:ind w:firstLine="708"/>
        <w:contextualSpacing/>
        <w:jc w:val="both"/>
        <w:rPr>
          <w:b/>
          <w:color w:val="000000"/>
          <w:sz w:val="28"/>
          <w:szCs w:val="28"/>
          <w:lang w:val="en-US"/>
        </w:rPr>
      </w:pPr>
      <w:r w:rsidRPr="006A079A">
        <w:rPr>
          <w:b/>
          <w:color w:val="000000"/>
          <w:sz w:val="28"/>
          <w:szCs w:val="28"/>
          <w:lang w:val="en-US"/>
        </w:rPr>
        <w:t>Information about authors:</w:t>
      </w:r>
    </w:p>
    <w:p w14:paraId="41645883" w14:textId="6D99B2FB" w:rsidR="001D3148" w:rsidRDefault="001D3148" w:rsidP="0040071C">
      <w:pPr>
        <w:pStyle w:val="a9"/>
        <w:spacing w:before="0" w:beforeAutospacing="0" w:after="0" w:afterAutospacing="0" w:line="480" w:lineRule="auto"/>
        <w:ind w:firstLine="708"/>
        <w:contextualSpacing/>
        <w:jc w:val="both"/>
        <w:rPr>
          <w:sz w:val="28"/>
          <w:szCs w:val="28"/>
          <w:lang w:val="en-US"/>
        </w:rPr>
      </w:pPr>
      <w:r w:rsidRPr="006A079A">
        <w:rPr>
          <w:i/>
          <w:sz w:val="28"/>
          <w:szCs w:val="28"/>
          <w:lang w:val="en-US"/>
        </w:rPr>
        <w:t>Ekaterina A. Zolotova</w:t>
      </w:r>
      <w:r w:rsidRPr="006A079A">
        <w:rPr>
          <w:sz w:val="28"/>
          <w:szCs w:val="28"/>
          <w:lang w:val="en-US"/>
        </w:rPr>
        <w:t xml:space="preserve"> — MD, PhD student of Department of L</w:t>
      </w:r>
      <w:r w:rsidR="008579BC">
        <w:rPr>
          <w:sz w:val="28"/>
          <w:szCs w:val="28"/>
          <w:lang w:val="en-US"/>
        </w:rPr>
        <w:t>aboratory Medicine and Genetics,</w:t>
      </w:r>
      <w:r w:rsidRPr="006A079A">
        <w:rPr>
          <w:sz w:val="28"/>
          <w:szCs w:val="28"/>
          <w:lang w:val="en-US"/>
        </w:rPr>
        <w:t xml:space="preserve"> Almazov National Medical Research Centre. </w:t>
      </w:r>
    </w:p>
    <w:p w14:paraId="41A47D18" w14:textId="77777777" w:rsidR="001D3148" w:rsidRPr="006A079A" w:rsidRDefault="001D3148" w:rsidP="0040071C">
      <w:pPr>
        <w:pStyle w:val="a9"/>
        <w:spacing w:before="0" w:beforeAutospacing="0" w:after="0" w:afterAutospacing="0" w:line="480" w:lineRule="auto"/>
        <w:ind w:firstLine="708"/>
        <w:contextualSpacing/>
        <w:jc w:val="both"/>
        <w:rPr>
          <w:i/>
          <w:sz w:val="28"/>
          <w:szCs w:val="28"/>
          <w:lang w:val="en-US"/>
        </w:rPr>
      </w:pPr>
      <w:r w:rsidRPr="006A079A">
        <w:rPr>
          <w:i/>
          <w:sz w:val="28"/>
          <w:szCs w:val="28"/>
          <w:lang w:val="en-US"/>
        </w:rPr>
        <w:t xml:space="preserve">Olga S. Melnichnikova – </w:t>
      </w:r>
      <w:r w:rsidRPr="006A079A">
        <w:rPr>
          <w:sz w:val="28"/>
          <w:szCs w:val="28"/>
          <w:lang w:val="en-US"/>
        </w:rPr>
        <w:t xml:space="preserve">MD, PhD, Senior Researcher, Research Group of Cardio-Oncology, World-Class Research Centre for Personalized Medicine. </w:t>
      </w:r>
    </w:p>
    <w:p w14:paraId="5E5FE3F3" w14:textId="361FAEBA" w:rsidR="001D3148" w:rsidRDefault="001D3148" w:rsidP="0040071C">
      <w:pPr>
        <w:pStyle w:val="a9"/>
        <w:spacing w:before="0" w:beforeAutospacing="0" w:after="0" w:afterAutospacing="0" w:line="480" w:lineRule="auto"/>
        <w:ind w:firstLine="708"/>
        <w:contextualSpacing/>
        <w:jc w:val="both"/>
        <w:rPr>
          <w:sz w:val="28"/>
          <w:szCs w:val="28"/>
          <w:lang w:val="en-US"/>
        </w:rPr>
      </w:pPr>
      <w:r w:rsidRPr="006A079A">
        <w:rPr>
          <w:i/>
          <w:sz w:val="28"/>
          <w:szCs w:val="28"/>
          <w:lang w:val="en-US"/>
        </w:rPr>
        <w:lastRenderedPageBreak/>
        <w:t xml:space="preserve">Maria A. Simakova - </w:t>
      </w:r>
      <w:r w:rsidRPr="006A079A">
        <w:rPr>
          <w:sz w:val="28"/>
          <w:szCs w:val="28"/>
          <w:lang w:val="en-US"/>
        </w:rPr>
        <w:t xml:space="preserve">MD, PhD, Senior Researcher, Noncoronary Heart Disease Department, Head of Research Group of Cardio-oncology, Research Centre of Personolized Oncology, World-Class Research Centre for Personalized Medicine Almazov National Medical Research Centre. </w:t>
      </w:r>
    </w:p>
    <w:p w14:paraId="1FB8C024" w14:textId="77777777" w:rsidR="001D3148" w:rsidRPr="006A079A" w:rsidRDefault="001D3148" w:rsidP="0040071C">
      <w:pPr>
        <w:pStyle w:val="a9"/>
        <w:spacing w:before="0" w:beforeAutospacing="0" w:after="0" w:afterAutospacing="0" w:line="480" w:lineRule="auto"/>
        <w:ind w:firstLine="708"/>
        <w:contextualSpacing/>
        <w:jc w:val="both"/>
        <w:rPr>
          <w:sz w:val="28"/>
          <w:szCs w:val="28"/>
          <w:lang w:val="en-US"/>
        </w:rPr>
      </w:pPr>
      <w:r w:rsidRPr="006A079A">
        <w:rPr>
          <w:i/>
          <w:sz w:val="28"/>
          <w:szCs w:val="28"/>
          <w:lang w:val="en-US"/>
        </w:rPr>
        <w:t>Yulia I. Zhilenkova</w:t>
      </w:r>
      <w:r w:rsidRPr="006A079A">
        <w:rPr>
          <w:sz w:val="28"/>
          <w:szCs w:val="28"/>
          <w:lang w:val="en-US"/>
        </w:rPr>
        <w:t xml:space="preserve"> — MD, PhD, Associate Professor of Department of Laboratory Medicine and Genetics. Almazov National Medical Research Centre. </w:t>
      </w:r>
    </w:p>
    <w:p w14:paraId="0DAFD6E9" w14:textId="35DDBAFD" w:rsidR="001D3148" w:rsidRPr="006A079A" w:rsidRDefault="001D3148" w:rsidP="0040071C">
      <w:pPr>
        <w:pStyle w:val="a9"/>
        <w:spacing w:before="0" w:beforeAutospacing="0" w:after="0" w:afterAutospacing="0" w:line="480" w:lineRule="auto"/>
        <w:ind w:firstLine="708"/>
        <w:contextualSpacing/>
        <w:jc w:val="both"/>
        <w:rPr>
          <w:sz w:val="28"/>
          <w:szCs w:val="28"/>
          <w:lang w:val="en-US"/>
        </w:rPr>
      </w:pPr>
      <w:r w:rsidRPr="006A079A">
        <w:rPr>
          <w:i/>
          <w:sz w:val="28"/>
          <w:szCs w:val="28"/>
          <w:lang w:val="en-US"/>
        </w:rPr>
        <w:t>Olga V. Sirotkina</w:t>
      </w:r>
      <w:r w:rsidRPr="006A079A">
        <w:rPr>
          <w:sz w:val="28"/>
          <w:szCs w:val="28"/>
          <w:lang w:val="en-US"/>
        </w:rPr>
        <w:t xml:space="preserve"> —</w:t>
      </w:r>
      <w:r w:rsidR="008579BC">
        <w:rPr>
          <w:sz w:val="28"/>
          <w:szCs w:val="28"/>
          <w:lang w:val="en-US"/>
        </w:rPr>
        <w:t xml:space="preserve"> PhD, DSc (Biology), P</w:t>
      </w:r>
      <w:r w:rsidRPr="006A079A">
        <w:rPr>
          <w:sz w:val="28"/>
          <w:szCs w:val="28"/>
          <w:lang w:val="en-US"/>
        </w:rPr>
        <w:t>rofessor of Department of Laboratory Medicine and Genetics, Almazov National Medical Research Centre, senior researcher, Petersburg Nuclear Physics Institute named by B.P. Konstantinov of National Resear</w:t>
      </w:r>
      <w:r>
        <w:rPr>
          <w:sz w:val="28"/>
          <w:szCs w:val="28"/>
          <w:lang w:val="en-US"/>
        </w:rPr>
        <w:t>ch Centre «Kurchatov Institute»,</w:t>
      </w:r>
      <w:r w:rsidRPr="006A079A">
        <w:rPr>
          <w:sz w:val="28"/>
          <w:szCs w:val="28"/>
          <w:lang w:val="en-US"/>
        </w:rPr>
        <w:t xml:space="preserve"> senior researcher, Pavlov First Saint-Petersburg State Medical University. </w:t>
      </w:r>
    </w:p>
    <w:p w14:paraId="2DD4541B" w14:textId="77777777" w:rsidR="00DC7512" w:rsidRPr="00427C1E" w:rsidRDefault="001D3148" w:rsidP="0040071C">
      <w:pPr>
        <w:pStyle w:val="a9"/>
        <w:spacing w:before="0" w:beforeAutospacing="0" w:after="0" w:afterAutospacing="0" w:line="480" w:lineRule="auto"/>
        <w:ind w:firstLine="708"/>
        <w:contextualSpacing/>
        <w:jc w:val="both"/>
        <w:rPr>
          <w:sz w:val="28"/>
          <w:szCs w:val="28"/>
          <w:lang w:val="en-US"/>
        </w:rPr>
      </w:pPr>
      <w:r w:rsidRPr="006A079A">
        <w:rPr>
          <w:i/>
          <w:sz w:val="28"/>
          <w:szCs w:val="28"/>
          <w:lang w:val="en-US"/>
        </w:rPr>
        <w:t>Tatiana V. Vavilova</w:t>
      </w:r>
      <w:r w:rsidRPr="006A079A">
        <w:rPr>
          <w:sz w:val="28"/>
          <w:szCs w:val="28"/>
          <w:lang w:val="en-US"/>
        </w:rPr>
        <w:t xml:space="preserve"> — MD, PhD, DS</w:t>
      </w:r>
      <w:r w:rsidRPr="006A079A">
        <w:rPr>
          <w:sz w:val="28"/>
          <w:szCs w:val="28"/>
        </w:rPr>
        <w:t>с</w:t>
      </w:r>
      <w:r w:rsidRPr="006A079A">
        <w:rPr>
          <w:sz w:val="28"/>
          <w:szCs w:val="28"/>
          <w:lang w:val="en-US"/>
        </w:rPr>
        <w:t xml:space="preserve">, Professor, Head of Department of Laboratory Medicine and Genetics, Almazov National Medical Research Centre. </w:t>
      </w:r>
    </w:p>
    <w:sectPr w:rsidR="00DC7512" w:rsidRPr="00427C1E" w:rsidSect="004F6972">
      <w:footerReference w:type="default" r:id="rId11"/>
      <w:pgSz w:w="11906" w:h="16838"/>
      <w:pgMar w:top="1134" w:right="1134" w:bottom="1134" w:left="1134" w:header="708" w:footer="708" w:gutter="0"/>
      <w:lnNumType w:countBy="1" w:restart="continuou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5254E" w16cex:dateUtc="2022-11-08T15:58:00Z"/>
  <w16cex:commentExtensible w16cex:durableId="27152698" w16cex:dateUtc="2022-11-08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369A48" w16cid:durableId="2715254E"/>
  <w16cid:commentId w16cid:paraId="75188625" w16cid:durableId="271526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B1888" w14:textId="77777777" w:rsidR="00236637" w:rsidRDefault="00236637" w:rsidP="000A1A79">
      <w:pPr>
        <w:spacing w:after="0" w:line="240" w:lineRule="auto"/>
      </w:pPr>
      <w:r>
        <w:separator/>
      </w:r>
    </w:p>
  </w:endnote>
  <w:endnote w:type="continuationSeparator" w:id="0">
    <w:p w14:paraId="324CAECE" w14:textId="77777777" w:rsidR="00236637" w:rsidRDefault="00236637" w:rsidP="000A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296977"/>
      <w:docPartObj>
        <w:docPartGallery w:val="Page Numbers (Bottom of Page)"/>
        <w:docPartUnique/>
      </w:docPartObj>
    </w:sdtPr>
    <w:sdtEndPr>
      <w:rPr>
        <w:rFonts w:ascii="Times New Roman" w:hAnsi="Times New Roman" w:cs="Times New Roman"/>
        <w:sz w:val="28"/>
        <w:szCs w:val="28"/>
      </w:rPr>
    </w:sdtEndPr>
    <w:sdtContent>
      <w:p w14:paraId="3BB8ED4D" w14:textId="15C9C268" w:rsidR="00450B55" w:rsidRPr="004F6972" w:rsidRDefault="00450B55">
        <w:pPr>
          <w:pStyle w:val="a6"/>
          <w:jc w:val="right"/>
          <w:rPr>
            <w:rFonts w:ascii="Times New Roman" w:hAnsi="Times New Roman" w:cs="Times New Roman"/>
            <w:sz w:val="28"/>
            <w:szCs w:val="28"/>
          </w:rPr>
        </w:pPr>
        <w:r w:rsidRPr="004F6972">
          <w:rPr>
            <w:rFonts w:ascii="Times New Roman" w:hAnsi="Times New Roman" w:cs="Times New Roman"/>
            <w:sz w:val="28"/>
            <w:szCs w:val="28"/>
          </w:rPr>
          <w:fldChar w:fldCharType="begin"/>
        </w:r>
        <w:r w:rsidRPr="004F6972">
          <w:rPr>
            <w:rFonts w:ascii="Times New Roman" w:hAnsi="Times New Roman" w:cs="Times New Roman"/>
            <w:sz w:val="28"/>
            <w:szCs w:val="28"/>
          </w:rPr>
          <w:instrText>PAGE   \* MERGEFORMAT</w:instrText>
        </w:r>
        <w:r w:rsidRPr="004F6972">
          <w:rPr>
            <w:rFonts w:ascii="Times New Roman" w:hAnsi="Times New Roman" w:cs="Times New Roman"/>
            <w:sz w:val="28"/>
            <w:szCs w:val="28"/>
          </w:rPr>
          <w:fldChar w:fldCharType="separate"/>
        </w:r>
        <w:r w:rsidR="00D56F64">
          <w:rPr>
            <w:rFonts w:ascii="Times New Roman" w:hAnsi="Times New Roman" w:cs="Times New Roman"/>
            <w:noProof/>
            <w:sz w:val="28"/>
            <w:szCs w:val="28"/>
          </w:rPr>
          <w:t>20</w:t>
        </w:r>
        <w:r w:rsidRPr="004F6972">
          <w:rPr>
            <w:rFonts w:ascii="Times New Roman" w:hAnsi="Times New Roman" w:cs="Times New Roman"/>
            <w:sz w:val="28"/>
            <w:szCs w:val="28"/>
          </w:rPr>
          <w:fldChar w:fldCharType="end"/>
        </w:r>
      </w:p>
    </w:sdtContent>
  </w:sdt>
  <w:p w14:paraId="4074729F" w14:textId="77777777" w:rsidR="00450B55" w:rsidRDefault="00450B5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35A48" w14:textId="77777777" w:rsidR="00236637" w:rsidRDefault="00236637" w:rsidP="000A1A79">
      <w:pPr>
        <w:spacing w:after="0" w:line="240" w:lineRule="auto"/>
      </w:pPr>
      <w:r>
        <w:separator/>
      </w:r>
    </w:p>
  </w:footnote>
  <w:footnote w:type="continuationSeparator" w:id="0">
    <w:p w14:paraId="77AAD683" w14:textId="77777777" w:rsidR="00236637" w:rsidRDefault="00236637" w:rsidP="000A1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4BDF"/>
    <w:multiLevelType w:val="hybridMultilevel"/>
    <w:tmpl w:val="F6DAB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A66"/>
    <w:rsid w:val="00001FD1"/>
    <w:rsid w:val="000147E7"/>
    <w:rsid w:val="00027B27"/>
    <w:rsid w:val="0003184F"/>
    <w:rsid w:val="000325F5"/>
    <w:rsid w:val="000379E3"/>
    <w:rsid w:val="00062FC4"/>
    <w:rsid w:val="0007329F"/>
    <w:rsid w:val="00077B62"/>
    <w:rsid w:val="00086055"/>
    <w:rsid w:val="00091ABF"/>
    <w:rsid w:val="00092C59"/>
    <w:rsid w:val="00092D24"/>
    <w:rsid w:val="000A1701"/>
    <w:rsid w:val="000A1A79"/>
    <w:rsid w:val="000A1FE6"/>
    <w:rsid w:val="000A35B7"/>
    <w:rsid w:val="000A7A3B"/>
    <w:rsid w:val="000D6A70"/>
    <w:rsid w:val="001039BB"/>
    <w:rsid w:val="0010433A"/>
    <w:rsid w:val="00105B6F"/>
    <w:rsid w:val="00107E70"/>
    <w:rsid w:val="00116A89"/>
    <w:rsid w:val="00140204"/>
    <w:rsid w:val="00156F8F"/>
    <w:rsid w:val="00166690"/>
    <w:rsid w:val="00180EF3"/>
    <w:rsid w:val="001B2B9D"/>
    <w:rsid w:val="001D3148"/>
    <w:rsid w:val="001E0024"/>
    <w:rsid w:val="001E313D"/>
    <w:rsid w:val="001E3588"/>
    <w:rsid w:val="001F7783"/>
    <w:rsid w:val="00204AA1"/>
    <w:rsid w:val="00207E20"/>
    <w:rsid w:val="0021713A"/>
    <w:rsid w:val="00217231"/>
    <w:rsid w:val="00223291"/>
    <w:rsid w:val="0022792C"/>
    <w:rsid w:val="00235986"/>
    <w:rsid w:val="00236637"/>
    <w:rsid w:val="00243C60"/>
    <w:rsid w:val="002455AF"/>
    <w:rsid w:val="002470D7"/>
    <w:rsid w:val="00257FE7"/>
    <w:rsid w:val="002707AA"/>
    <w:rsid w:val="00274E6A"/>
    <w:rsid w:val="00274E6B"/>
    <w:rsid w:val="00291A81"/>
    <w:rsid w:val="0029484C"/>
    <w:rsid w:val="002A089A"/>
    <w:rsid w:val="002A1FA4"/>
    <w:rsid w:val="002C461A"/>
    <w:rsid w:val="002C68B4"/>
    <w:rsid w:val="002D07CC"/>
    <w:rsid w:val="002E47F2"/>
    <w:rsid w:val="002F78FC"/>
    <w:rsid w:val="0030435E"/>
    <w:rsid w:val="00306E9F"/>
    <w:rsid w:val="00310599"/>
    <w:rsid w:val="003151F6"/>
    <w:rsid w:val="00321A49"/>
    <w:rsid w:val="00322C78"/>
    <w:rsid w:val="00335104"/>
    <w:rsid w:val="00342170"/>
    <w:rsid w:val="0034456C"/>
    <w:rsid w:val="00356226"/>
    <w:rsid w:val="0036179C"/>
    <w:rsid w:val="00362EE1"/>
    <w:rsid w:val="00363255"/>
    <w:rsid w:val="00367D16"/>
    <w:rsid w:val="00371155"/>
    <w:rsid w:val="00372891"/>
    <w:rsid w:val="003812CD"/>
    <w:rsid w:val="00396987"/>
    <w:rsid w:val="003A1E4F"/>
    <w:rsid w:val="003C4A54"/>
    <w:rsid w:val="003C5E0A"/>
    <w:rsid w:val="003D4389"/>
    <w:rsid w:val="003D782C"/>
    <w:rsid w:val="003E337D"/>
    <w:rsid w:val="003E7A66"/>
    <w:rsid w:val="003F1450"/>
    <w:rsid w:val="003F369D"/>
    <w:rsid w:val="0040071C"/>
    <w:rsid w:val="00427C1E"/>
    <w:rsid w:val="0043797C"/>
    <w:rsid w:val="004466BD"/>
    <w:rsid w:val="00450B55"/>
    <w:rsid w:val="00471DB2"/>
    <w:rsid w:val="0047206F"/>
    <w:rsid w:val="004739B0"/>
    <w:rsid w:val="00485DE7"/>
    <w:rsid w:val="00487ED8"/>
    <w:rsid w:val="004A2033"/>
    <w:rsid w:val="004B3720"/>
    <w:rsid w:val="004B4B21"/>
    <w:rsid w:val="004B7D4F"/>
    <w:rsid w:val="004C1635"/>
    <w:rsid w:val="004D18EA"/>
    <w:rsid w:val="004D6A23"/>
    <w:rsid w:val="004E7D4C"/>
    <w:rsid w:val="004F0ADA"/>
    <w:rsid w:val="004F6972"/>
    <w:rsid w:val="00512454"/>
    <w:rsid w:val="00516E0D"/>
    <w:rsid w:val="00536CFA"/>
    <w:rsid w:val="005533F9"/>
    <w:rsid w:val="0056188B"/>
    <w:rsid w:val="00567478"/>
    <w:rsid w:val="005728C9"/>
    <w:rsid w:val="00586794"/>
    <w:rsid w:val="005A32FD"/>
    <w:rsid w:val="005D2886"/>
    <w:rsid w:val="005E113D"/>
    <w:rsid w:val="005F5419"/>
    <w:rsid w:val="00610EC9"/>
    <w:rsid w:val="006255DB"/>
    <w:rsid w:val="0062575F"/>
    <w:rsid w:val="006476D5"/>
    <w:rsid w:val="006524C2"/>
    <w:rsid w:val="00662443"/>
    <w:rsid w:val="00677531"/>
    <w:rsid w:val="0068516A"/>
    <w:rsid w:val="00685859"/>
    <w:rsid w:val="00686624"/>
    <w:rsid w:val="00692373"/>
    <w:rsid w:val="006968C3"/>
    <w:rsid w:val="006968D3"/>
    <w:rsid w:val="006A38C1"/>
    <w:rsid w:val="006D1329"/>
    <w:rsid w:val="006E796A"/>
    <w:rsid w:val="006F6CCC"/>
    <w:rsid w:val="007030F6"/>
    <w:rsid w:val="007067E9"/>
    <w:rsid w:val="00707D2D"/>
    <w:rsid w:val="007210FF"/>
    <w:rsid w:val="007214BB"/>
    <w:rsid w:val="0073204E"/>
    <w:rsid w:val="007320B1"/>
    <w:rsid w:val="00736056"/>
    <w:rsid w:val="00744C5E"/>
    <w:rsid w:val="007619F1"/>
    <w:rsid w:val="00765DA8"/>
    <w:rsid w:val="007718F5"/>
    <w:rsid w:val="00773308"/>
    <w:rsid w:val="007819E5"/>
    <w:rsid w:val="007A3C2A"/>
    <w:rsid w:val="007A44B3"/>
    <w:rsid w:val="007A7DC0"/>
    <w:rsid w:val="007B3360"/>
    <w:rsid w:val="007B5BEB"/>
    <w:rsid w:val="007F38D4"/>
    <w:rsid w:val="00810C5D"/>
    <w:rsid w:val="00812A48"/>
    <w:rsid w:val="00822A60"/>
    <w:rsid w:val="008268D7"/>
    <w:rsid w:val="00832D9A"/>
    <w:rsid w:val="00844CBF"/>
    <w:rsid w:val="00847829"/>
    <w:rsid w:val="008579BC"/>
    <w:rsid w:val="00870FA1"/>
    <w:rsid w:val="00871B11"/>
    <w:rsid w:val="00877B21"/>
    <w:rsid w:val="00894699"/>
    <w:rsid w:val="008B1ECC"/>
    <w:rsid w:val="008B2079"/>
    <w:rsid w:val="008D6578"/>
    <w:rsid w:val="008E0801"/>
    <w:rsid w:val="008F6E04"/>
    <w:rsid w:val="009038EB"/>
    <w:rsid w:val="00903910"/>
    <w:rsid w:val="0092756D"/>
    <w:rsid w:val="009445B8"/>
    <w:rsid w:val="009478AE"/>
    <w:rsid w:val="0097157B"/>
    <w:rsid w:val="0097485E"/>
    <w:rsid w:val="00996B5E"/>
    <w:rsid w:val="009A1BEF"/>
    <w:rsid w:val="009D113B"/>
    <w:rsid w:val="009D2BD2"/>
    <w:rsid w:val="009D5E53"/>
    <w:rsid w:val="009F21F1"/>
    <w:rsid w:val="00A020B9"/>
    <w:rsid w:val="00A066FB"/>
    <w:rsid w:val="00A13795"/>
    <w:rsid w:val="00A15614"/>
    <w:rsid w:val="00A278D8"/>
    <w:rsid w:val="00A3372E"/>
    <w:rsid w:val="00A40617"/>
    <w:rsid w:val="00A42275"/>
    <w:rsid w:val="00A532D5"/>
    <w:rsid w:val="00A54516"/>
    <w:rsid w:val="00A72007"/>
    <w:rsid w:val="00AA0D47"/>
    <w:rsid w:val="00AA14AA"/>
    <w:rsid w:val="00AA1779"/>
    <w:rsid w:val="00AA2BA1"/>
    <w:rsid w:val="00AA4347"/>
    <w:rsid w:val="00AC1FB6"/>
    <w:rsid w:val="00AC4104"/>
    <w:rsid w:val="00AD1E9E"/>
    <w:rsid w:val="00AD3E21"/>
    <w:rsid w:val="00AE0F74"/>
    <w:rsid w:val="00AE33B1"/>
    <w:rsid w:val="00AE4AFD"/>
    <w:rsid w:val="00AE6BA8"/>
    <w:rsid w:val="00B066D0"/>
    <w:rsid w:val="00B1003C"/>
    <w:rsid w:val="00B10E48"/>
    <w:rsid w:val="00B1452F"/>
    <w:rsid w:val="00B249C1"/>
    <w:rsid w:val="00B33F5F"/>
    <w:rsid w:val="00B36F24"/>
    <w:rsid w:val="00B46096"/>
    <w:rsid w:val="00B50776"/>
    <w:rsid w:val="00B57EAB"/>
    <w:rsid w:val="00B67A59"/>
    <w:rsid w:val="00B71D48"/>
    <w:rsid w:val="00B77058"/>
    <w:rsid w:val="00B777EA"/>
    <w:rsid w:val="00B82164"/>
    <w:rsid w:val="00B82278"/>
    <w:rsid w:val="00B84C21"/>
    <w:rsid w:val="00B91C49"/>
    <w:rsid w:val="00BB61FC"/>
    <w:rsid w:val="00BB79CF"/>
    <w:rsid w:val="00BD0E5C"/>
    <w:rsid w:val="00BD14AA"/>
    <w:rsid w:val="00BD370F"/>
    <w:rsid w:val="00BD698B"/>
    <w:rsid w:val="00BE42DB"/>
    <w:rsid w:val="00BF6C38"/>
    <w:rsid w:val="00C013BC"/>
    <w:rsid w:val="00C04474"/>
    <w:rsid w:val="00C10C5C"/>
    <w:rsid w:val="00C174FD"/>
    <w:rsid w:val="00C279C9"/>
    <w:rsid w:val="00C403BE"/>
    <w:rsid w:val="00C4581C"/>
    <w:rsid w:val="00C63B7C"/>
    <w:rsid w:val="00C83A46"/>
    <w:rsid w:val="00C91093"/>
    <w:rsid w:val="00C94894"/>
    <w:rsid w:val="00C9695B"/>
    <w:rsid w:val="00CA33DE"/>
    <w:rsid w:val="00CA5891"/>
    <w:rsid w:val="00CA6AB7"/>
    <w:rsid w:val="00CB5454"/>
    <w:rsid w:val="00CC3123"/>
    <w:rsid w:val="00CC60B5"/>
    <w:rsid w:val="00CC7D40"/>
    <w:rsid w:val="00CE5242"/>
    <w:rsid w:val="00CF28C0"/>
    <w:rsid w:val="00CF4466"/>
    <w:rsid w:val="00CF7F75"/>
    <w:rsid w:val="00D00A71"/>
    <w:rsid w:val="00D160FA"/>
    <w:rsid w:val="00D17A70"/>
    <w:rsid w:val="00D23769"/>
    <w:rsid w:val="00D459C2"/>
    <w:rsid w:val="00D56EAD"/>
    <w:rsid w:val="00D56F64"/>
    <w:rsid w:val="00D813C8"/>
    <w:rsid w:val="00DB37D2"/>
    <w:rsid w:val="00DB57E0"/>
    <w:rsid w:val="00DC7512"/>
    <w:rsid w:val="00DD3DB1"/>
    <w:rsid w:val="00DE6319"/>
    <w:rsid w:val="00E022EA"/>
    <w:rsid w:val="00E04AC2"/>
    <w:rsid w:val="00E237FE"/>
    <w:rsid w:val="00E32327"/>
    <w:rsid w:val="00E3519C"/>
    <w:rsid w:val="00E41AAB"/>
    <w:rsid w:val="00E455B7"/>
    <w:rsid w:val="00E6108F"/>
    <w:rsid w:val="00E82E69"/>
    <w:rsid w:val="00E87D15"/>
    <w:rsid w:val="00E92325"/>
    <w:rsid w:val="00EA3C3A"/>
    <w:rsid w:val="00ED0570"/>
    <w:rsid w:val="00ED4E40"/>
    <w:rsid w:val="00ED68EC"/>
    <w:rsid w:val="00EF2837"/>
    <w:rsid w:val="00EF4F58"/>
    <w:rsid w:val="00EF640F"/>
    <w:rsid w:val="00F0076B"/>
    <w:rsid w:val="00F25E06"/>
    <w:rsid w:val="00F35722"/>
    <w:rsid w:val="00F45E4C"/>
    <w:rsid w:val="00F56158"/>
    <w:rsid w:val="00F70755"/>
    <w:rsid w:val="00F76B13"/>
    <w:rsid w:val="00F94576"/>
    <w:rsid w:val="00FC3D18"/>
    <w:rsid w:val="00FC7A18"/>
    <w:rsid w:val="00FD290A"/>
    <w:rsid w:val="00FE259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337A54"/>
  <w15:docId w15:val="{01746415-F887-4429-9023-78E83C59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7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1A7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A1A79"/>
  </w:style>
  <w:style w:type="paragraph" w:styleId="a6">
    <w:name w:val="footer"/>
    <w:basedOn w:val="a"/>
    <w:link w:val="a7"/>
    <w:uiPriority w:val="99"/>
    <w:unhideWhenUsed/>
    <w:rsid w:val="000A1A7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A1A79"/>
  </w:style>
  <w:style w:type="character" w:customStyle="1" w:styleId="text">
    <w:name w:val="text"/>
    <w:basedOn w:val="a0"/>
    <w:rsid w:val="005D2886"/>
  </w:style>
  <w:style w:type="paragraph" w:styleId="a8">
    <w:name w:val="Bibliography"/>
    <w:basedOn w:val="a"/>
    <w:next w:val="a"/>
    <w:uiPriority w:val="37"/>
    <w:unhideWhenUsed/>
    <w:rsid w:val="00DC7512"/>
    <w:pPr>
      <w:tabs>
        <w:tab w:val="left" w:pos="384"/>
      </w:tabs>
      <w:spacing w:after="240" w:line="240" w:lineRule="auto"/>
      <w:ind w:left="384" w:hanging="384"/>
    </w:pPr>
  </w:style>
  <w:style w:type="paragraph" w:styleId="a9">
    <w:name w:val="Normal (Web)"/>
    <w:basedOn w:val="a"/>
    <w:uiPriority w:val="99"/>
    <w:unhideWhenUsed/>
    <w:rsid w:val="00F76B1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a">
    <w:name w:val="Balloon Text"/>
    <w:basedOn w:val="a"/>
    <w:link w:val="ab"/>
    <w:uiPriority w:val="99"/>
    <w:semiHidden/>
    <w:unhideWhenUsed/>
    <w:rsid w:val="00CC60B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60B5"/>
    <w:rPr>
      <w:rFonts w:ascii="Tahoma" w:hAnsi="Tahoma" w:cs="Tahoma"/>
      <w:sz w:val="16"/>
      <w:szCs w:val="16"/>
    </w:rPr>
  </w:style>
  <w:style w:type="character" w:styleId="ac">
    <w:name w:val="annotation reference"/>
    <w:basedOn w:val="a0"/>
    <w:uiPriority w:val="99"/>
    <w:semiHidden/>
    <w:unhideWhenUsed/>
    <w:rsid w:val="00F56158"/>
    <w:rPr>
      <w:sz w:val="16"/>
      <w:szCs w:val="16"/>
    </w:rPr>
  </w:style>
  <w:style w:type="paragraph" w:styleId="ad">
    <w:name w:val="annotation text"/>
    <w:basedOn w:val="a"/>
    <w:link w:val="ae"/>
    <w:uiPriority w:val="99"/>
    <w:unhideWhenUsed/>
    <w:rsid w:val="00F56158"/>
    <w:pPr>
      <w:spacing w:line="240" w:lineRule="auto"/>
    </w:pPr>
    <w:rPr>
      <w:sz w:val="20"/>
      <w:szCs w:val="20"/>
    </w:rPr>
  </w:style>
  <w:style w:type="character" w:customStyle="1" w:styleId="ae">
    <w:name w:val="Текст примечания Знак"/>
    <w:basedOn w:val="a0"/>
    <w:link w:val="ad"/>
    <w:uiPriority w:val="99"/>
    <w:rsid w:val="00F56158"/>
    <w:rPr>
      <w:sz w:val="20"/>
      <w:szCs w:val="20"/>
    </w:rPr>
  </w:style>
  <w:style w:type="paragraph" w:styleId="af">
    <w:name w:val="annotation subject"/>
    <w:basedOn w:val="ad"/>
    <w:next w:val="ad"/>
    <w:link w:val="af0"/>
    <w:uiPriority w:val="99"/>
    <w:semiHidden/>
    <w:unhideWhenUsed/>
    <w:rsid w:val="00F56158"/>
    <w:rPr>
      <w:b/>
      <w:bCs/>
    </w:rPr>
  </w:style>
  <w:style w:type="character" w:customStyle="1" w:styleId="af0">
    <w:name w:val="Тема примечания Знак"/>
    <w:basedOn w:val="ae"/>
    <w:link w:val="af"/>
    <w:uiPriority w:val="99"/>
    <w:semiHidden/>
    <w:rsid w:val="00F56158"/>
    <w:rPr>
      <w:b/>
      <w:bCs/>
      <w:sz w:val="20"/>
      <w:szCs w:val="20"/>
    </w:rPr>
  </w:style>
  <w:style w:type="paragraph" w:customStyle="1" w:styleId="Standard">
    <w:name w:val="Standard"/>
    <w:qFormat/>
    <w:rsid w:val="00D2376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f1">
    <w:name w:val="Hyperlink"/>
    <w:basedOn w:val="a0"/>
    <w:uiPriority w:val="99"/>
    <w:unhideWhenUsed/>
    <w:rsid w:val="00A3372E"/>
    <w:rPr>
      <w:color w:val="0563C1" w:themeColor="hyperlink"/>
      <w:u w:val="single"/>
    </w:rPr>
  </w:style>
  <w:style w:type="character" w:styleId="af2">
    <w:name w:val="line number"/>
    <w:basedOn w:val="a0"/>
    <w:uiPriority w:val="99"/>
    <w:semiHidden/>
    <w:unhideWhenUsed/>
    <w:rsid w:val="004F6972"/>
  </w:style>
  <w:style w:type="character" w:styleId="af3">
    <w:name w:val="Placeholder Text"/>
    <w:basedOn w:val="a0"/>
    <w:uiPriority w:val="99"/>
    <w:semiHidden/>
    <w:rsid w:val="002A1FA4"/>
    <w:rPr>
      <w:color w:val="808080"/>
    </w:rPr>
  </w:style>
  <w:style w:type="paragraph" w:customStyle="1" w:styleId="Default">
    <w:name w:val="Default"/>
    <w:rsid w:val="00321A49"/>
    <w:pPr>
      <w:autoSpaceDE w:val="0"/>
      <w:autoSpaceDN w:val="0"/>
      <w:adjustRightInd w:val="0"/>
      <w:spacing w:after="0" w:line="240" w:lineRule="auto"/>
    </w:pPr>
    <w:rPr>
      <w:rFonts w:ascii="Arial" w:hAnsi="Arial" w:cs="Arial"/>
      <w:color w:val="000000"/>
      <w:sz w:val="24"/>
      <w:szCs w:val="24"/>
    </w:rPr>
  </w:style>
  <w:style w:type="paragraph" w:styleId="af4">
    <w:name w:val="List Paragraph"/>
    <w:basedOn w:val="a"/>
    <w:uiPriority w:val="34"/>
    <w:qFormat/>
    <w:rsid w:val="00367D16"/>
    <w:pPr>
      <w:ind w:left="720"/>
      <w:contextualSpacing/>
    </w:pPr>
  </w:style>
  <w:style w:type="paragraph" w:styleId="af5">
    <w:name w:val="Revision"/>
    <w:hidden/>
    <w:uiPriority w:val="99"/>
    <w:semiHidden/>
    <w:rsid w:val="00BD69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7179">
      <w:bodyDiv w:val="1"/>
      <w:marLeft w:val="0"/>
      <w:marRight w:val="0"/>
      <w:marTop w:val="0"/>
      <w:marBottom w:val="0"/>
      <w:divBdr>
        <w:top w:val="none" w:sz="0" w:space="0" w:color="auto"/>
        <w:left w:val="none" w:sz="0" w:space="0" w:color="auto"/>
        <w:bottom w:val="none" w:sz="0" w:space="0" w:color="auto"/>
        <w:right w:val="none" w:sz="0" w:space="0" w:color="auto"/>
      </w:divBdr>
    </w:div>
    <w:div w:id="35205381">
      <w:bodyDiv w:val="1"/>
      <w:marLeft w:val="0"/>
      <w:marRight w:val="0"/>
      <w:marTop w:val="0"/>
      <w:marBottom w:val="0"/>
      <w:divBdr>
        <w:top w:val="none" w:sz="0" w:space="0" w:color="auto"/>
        <w:left w:val="none" w:sz="0" w:space="0" w:color="auto"/>
        <w:bottom w:val="none" w:sz="0" w:space="0" w:color="auto"/>
        <w:right w:val="none" w:sz="0" w:space="0" w:color="auto"/>
      </w:divBdr>
    </w:div>
    <w:div w:id="61955874">
      <w:bodyDiv w:val="1"/>
      <w:marLeft w:val="0"/>
      <w:marRight w:val="0"/>
      <w:marTop w:val="0"/>
      <w:marBottom w:val="0"/>
      <w:divBdr>
        <w:top w:val="none" w:sz="0" w:space="0" w:color="auto"/>
        <w:left w:val="none" w:sz="0" w:space="0" w:color="auto"/>
        <w:bottom w:val="none" w:sz="0" w:space="0" w:color="auto"/>
        <w:right w:val="none" w:sz="0" w:space="0" w:color="auto"/>
      </w:divBdr>
    </w:div>
    <w:div w:id="62220481">
      <w:bodyDiv w:val="1"/>
      <w:marLeft w:val="0"/>
      <w:marRight w:val="0"/>
      <w:marTop w:val="0"/>
      <w:marBottom w:val="0"/>
      <w:divBdr>
        <w:top w:val="none" w:sz="0" w:space="0" w:color="auto"/>
        <w:left w:val="none" w:sz="0" w:space="0" w:color="auto"/>
        <w:bottom w:val="none" w:sz="0" w:space="0" w:color="auto"/>
        <w:right w:val="none" w:sz="0" w:space="0" w:color="auto"/>
      </w:divBdr>
    </w:div>
    <w:div w:id="102264687">
      <w:bodyDiv w:val="1"/>
      <w:marLeft w:val="0"/>
      <w:marRight w:val="0"/>
      <w:marTop w:val="0"/>
      <w:marBottom w:val="0"/>
      <w:divBdr>
        <w:top w:val="none" w:sz="0" w:space="0" w:color="auto"/>
        <w:left w:val="none" w:sz="0" w:space="0" w:color="auto"/>
        <w:bottom w:val="none" w:sz="0" w:space="0" w:color="auto"/>
        <w:right w:val="none" w:sz="0" w:space="0" w:color="auto"/>
      </w:divBdr>
    </w:div>
    <w:div w:id="119307876">
      <w:bodyDiv w:val="1"/>
      <w:marLeft w:val="0"/>
      <w:marRight w:val="0"/>
      <w:marTop w:val="0"/>
      <w:marBottom w:val="0"/>
      <w:divBdr>
        <w:top w:val="none" w:sz="0" w:space="0" w:color="auto"/>
        <w:left w:val="none" w:sz="0" w:space="0" w:color="auto"/>
        <w:bottom w:val="none" w:sz="0" w:space="0" w:color="auto"/>
        <w:right w:val="none" w:sz="0" w:space="0" w:color="auto"/>
      </w:divBdr>
    </w:div>
    <w:div w:id="150101750">
      <w:bodyDiv w:val="1"/>
      <w:marLeft w:val="0"/>
      <w:marRight w:val="0"/>
      <w:marTop w:val="0"/>
      <w:marBottom w:val="0"/>
      <w:divBdr>
        <w:top w:val="none" w:sz="0" w:space="0" w:color="auto"/>
        <w:left w:val="none" w:sz="0" w:space="0" w:color="auto"/>
        <w:bottom w:val="none" w:sz="0" w:space="0" w:color="auto"/>
        <w:right w:val="none" w:sz="0" w:space="0" w:color="auto"/>
      </w:divBdr>
    </w:div>
    <w:div w:id="163055513">
      <w:bodyDiv w:val="1"/>
      <w:marLeft w:val="0"/>
      <w:marRight w:val="0"/>
      <w:marTop w:val="0"/>
      <w:marBottom w:val="0"/>
      <w:divBdr>
        <w:top w:val="none" w:sz="0" w:space="0" w:color="auto"/>
        <w:left w:val="none" w:sz="0" w:space="0" w:color="auto"/>
        <w:bottom w:val="none" w:sz="0" w:space="0" w:color="auto"/>
        <w:right w:val="none" w:sz="0" w:space="0" w:color="auto"/>
      </w:divBdr>
    </w:div>
    <w:div w:id="182090425">
      <w:bodyDiv w:val="1"/>
      <w:marLeft w:val="0"/>
      <w:marRight w:val="0"/>
      <w:marTop w:val="0"/>
      <w:marBottom w:val="0"/>
      <w:divBdr>
        <w:top w:val="none" w:sz="0" w:space="0" w:color="auto"/>
        <w:left w:val="none" w:sz="0" w:space="0" w:color="auto"/>
        <w:bottom w:val="none" w:sz="0" w:space="0" w:color="auto"/>
        <w:right w:val="none" w:sz="0" w:space="0" w:color="auto"/>
      </w:divBdr>
    </w:div>
    <w:div w:id="218633391">
      <w:bodyDiv w:val="1"/>
      <w:marLeft w:val="0"/>
      <w:marRight w:val="0"/>
      <w:marTop w:val="0"/>
      <w:marBottom w:val="0"/>
      <w:divBdr>
        <w:top w:val="none" w:sz="0" w:space="0" w:color="auto"/>
        <w:left w:val="none" w:sz="0" w:space="0" w:color="auto"/>
        <w:bottom w:val="none" w:sz="0" w:space="0" w:color="auto"/>
        <w:right w:val="none" w:sz="0" w:space="0" w:color="auto"/>
      </w:divBdr>
    </w:div>
    <w:div w:id="225997315">
      <w:bodyDiv w:val="1"/>
      <w:marLeft w:val="0"/>
      <w:marRight w:val="0"/>
      <w:marTop w:val="0"/>
      <w:marBottom w:val="0"/>
      <w:divBdr>
        <w:top w:val="none" w:sz="0" w:space="0" w:color="auto"/>
        <w:left w:val="none" w:sz="0" w:space="0" w:color="auto"/>
        <w:bottom w:val="none" w:sz="0" w:space="0" w:color="auto"/>
        <w:right w:val="none" w:sz="0" w:space="0" w:color="auto"/>
      </w:divBdr>
    </w:div>
    <w:div w:id="250092601">
      <w:bodyDiv w:val="1"/>
      <w:marLeft w:val="0"/>
      <w:marRight w:val="0"/>
      <w:marTop w:val="0"/>
      <w:marBottom w:val="0"/>
      <w:divBdr>
        <w:top w:val="none" w:sz="0" w:space="0" w:color="auto"/>
        <w:left w:val="none" w:sz="0" w:space="0" w:color="auto"/>
        <w:bottom w:val="none" w:sz="0" w:space="0" w:color="auto"/>
        <w:right w:val="none" w:sz="0" w:space="0" w:color="auto"/>
      </w:divBdr>
    </w:div>
    <w:div w:id="298728220">
      <w:bodyDiv w:val="1"/>
      <w:marLeft w:val="0"/>
      <w:marRight w:val="0"/>
      <w:marTop w:val="0"/>
      <w:marBottom w:val="0"/>
      <w:divBdr>
        <w:top w:val="none" w:sz="0" w:space="0" w:color="auto"/>
        <w:left w:val="none" w:sz="0" w:space="0" w:color="auto"/>
        <w:bottom w:val="none" w:sz="0" w:space="0" w:color="auto"/>
        <w:right w:val="none" w:sz="0" w:space="0" w:color="auto"/>
      </w:divBdr>
    </w:div>
    <w:div w:id="307826542">
      <w:bodyDiv w:val="1"/>
      <w:marLeft w:val="0"/>
      <w:marRight w:val="0"/>
      <w:marTop w:val="0"/>
      <w:marBottom w:val="0"/>
      <w:divBdr>
        <w:top w:val="none" w:sz="0" w:space="0" w:color="auto"/>
        <w:left w:val="none" w:sz="0" w:space="0" w:color="auto"/>
        <w:bottom w:val="none" w:sz="0" w:space="0" w:color="auto"/>
        <w:right w:val="none" w:sz="0" w:space="0" w:color="auto"/>
      </w:divBdr>
    </w:div>
    <w:div w:id="309361094">
      <w:bodyDiv w:val="1"/>
      <w:marLeft w:val="0"/>
      <w:marRight w:val="0"/>
      <w:marTop w:val="0"/>
      <w:marBottom w:val="0"/>
      <w:divBdr>
        <w:top w:val="none" w:sz="0" w:space="0" w:color="auto"/>
        <w:left w:val="none" w:sz="0" w:space="0" w:color="auto"/>
        <w:bottom w:val="none" w:sz="0" w:space="0" w:color="auto"/>
        <w:right w:val="none" w:sz="0" w:space="0" w:color="auto"/>
      </w:divBdr>
    </w:div>
    <w:div w:id="310914115">
      <w:bodyDiv w:val="1"/>
      <w:marLeft w:val="0"/>
      <w:marRight w:val="0"/>
      <w:marTop w:val="0"/>
      <w:marBottom w:val="0"/>
      <w:divBdr>
        <w:top w:val="none" w:sz="0" w:space="0" w:color="auto"/>
        <w:left w:val="none" w:sz="0" w:space="0" w:color="auto"/>
        <w:bottom w:val="none" w:sz="0" w:space="0" w:color="auto"/>
        <w:right w:val="none" w:sz="0" w:space="0" w:color="auto"/>
      </w:divBdr>
    </w:div>
    <w:div w:id="397099320">
      <w:bodyDiv w:val="1"/>
      <w:marLeft w:val="0"/>
      <w:marRight w:val="0"/>
      <w:marTop w:val="0"/>
      <w:marBottom w:val="0"/>
      <w:divBdr>
        <w:top w:val="none" w:sz="0" w:space="0" w:color="auto"/>
        <w:left w:val="none" w:sz="0" w:space="0" w:color="auto"/>
        <w:bottom w:val="none" w:sz="0" w:space="0" w:color="auto"/>
        <w:right w:val="none" w:sz="0" w:space="0" w:color="auto"/>
      </w:divBdr>
    </w:div>
    <w:div w:id="426268546">
      <w:bodyDiv w:val="1"/>
      <w:marLeft w:val="0"/>
      <w:marRight w:val="0"/>
      <w:marTop w:val="0"/>
      <w:marBottom w:val="0"/>
      <w:divBdr>
        <w:top w:val="none" w:sz="0" w:space="0" w:color="auto"/>
        <w:left w:val="none" w:sz="0" w:space="0" w:color="auto"/>
        <w:bottom w:val="none" w:sz="0" w:space="0" w:color="auto"/>
        <w:right w:val="none" w:sz="0" w:space="0" w:color="auto"/>
      </w:divBdr>
    </w:div>
    <w:div w:id="430440499">
      <w:bodyDiv w:val="1"/>
      <w:marLeft w:val="0"/>
      <w:marRight w:val="0"/>
      <w:marTop w:val="0"/>
      <w:marBottom w:val="0"/>
      <w:divBdr>
        <w:top w:val="none" w:sz="0" w:space="0" w:color="auto"/>
        <w:left w:val="none" w:sz="0" w:space="0" w:color="auto"/>
        <w:bottom w:val="none" w:sz="0" w:space="0" w:color="auto"/>
        <w:right w:val="none" w:sz="0" w:space="0" w:color="auto"/>
      </w:divBdr>
    </w:div>
    <w:div w:id="430704086">
      <w:bodyDiv w:val="1"/>
      <w:marLeft w:val="0"/>
      <w:marRight w:val="0"/>
      <w:marTop w:val="0"/>
      <w:marBottom w:val="0"/>
      <w:divBdr>
        <w:top w:val="none" w:sz="0" w:space="0" w:color="auto"/>
        <w:left w:val="none" w:sz="0" w:space="0" w:color="auto"/>
        <w:bottom w:val="none" w:sz="0" w:space="0" w:color="auto"/>
        <w:right w:val="none" w:sz="0" w:space="0" w:color="auto"/>
      </w:divBdr>
    </w:div>
    <w:div w:id="478766764">
      <w:bodyDiv w:val="1"/>
      <w:marLeft w:val="0"/>
      <w:marRight w:val="0"/>
      <w:marTop w:val="0"/>
      <w:marBottom w:val="0"/>
      <w:divBdr>
        <w:top w:val="none" w:sz="0" w:space="0" w:color="auto"/>
        <w:left w:val="none" w:sz="0" w:space="0" w:color="auto"/>
        <w:bottom w:val="none" w:sz="0" w:space="0" w:color="auto"/>
        <w:right w:val="none" w:sz="0" w:space="0" w:color="auto"/>
      </w:divBdr>
    </w:div>
    <w:div w:id="531769993">
      <w:bodyDiv w:val="1"/>
      <w:marLeft w:val="0"/>
      <w:marRight w:val="0"/>
      <w:marTop w:val="0"/>
      <w:marBottom w:val="0"/>
      <w:divBdr>
        <w:top w:val="none" w:sz="0" w:space="0" w:color="auto"/>
        <w:left w:val="none" w:sz="0" w:space="0" w:color="auto"/>
        <w:bottom w:val="none" w:sz="0" w:space="0" w:color="auto"/>
        <w:right w:val="none" w:sz="0" w:space="0" w:color="auto"/>
      </w:divBdr>
    </w:div>
    <w:div w:id="535167946">
      <w:bodyDiv w:val="1"/>
      <w:marLeft w:val="0"/>
      <w:marRight w:val="0"/>
      <w:marTop w:val="0"/>
      <w:marBottom w:val="0"/>
      <w:divBdr>
        <w:top w:val="none" w:sz="0" w:space="0" w:color="auto"/>
        <w:left w:val="none" w:sz="0" w:space="0" w:color="auto"/>
        <w:bottom w:val="none" w:sz="0" w:space="0" w:color="auto"/>
        <w:right w:val="none" w:sz="0" w:space="0" w:color="auto"/>
      </w:divBdr>
    </w:div>
    <w:div w:id="565456753">
      <w:bodyDiv w:val="1"/>
      <w:marLeft w:val="0"/>
      <w:marRight w:val="0"/>
      <w:marTop w:val="0"/>
      <w:marBottom w:val="0"/>
      <w:divBdr>
        <w:top w:val="none" w:sz="0" w:space="0" w:color="auto"/>
        <w:left w:val="none" w:sz="0" w:space="0" w:color="auto"/>
        <w:bottom w:val="none" w:sz="0" w:space="0" w:color="auto"/>
        <w:right w:val="none" w:sz="0" w:space="0" w:color="auto"/>
      </w:divBdr>
    </w:div>
    <w:div w:id="565725237">
      <w:bodyDiv w:val="1"/>
      <w:marLeft w:val="0"/>
      <w:marRight w:val="0"/>
      <w:marTop w:val="0"/>
      <w:marBottom w:val="0"/>
      <w:divBdr>
        <w:top w:val="none" w:sz="0" w:space="0" w:color="auto"/>
        <w:left w:val="none" w:sz="0" w:space="0" w:color="auto"/>
        <w:bottom w:val="none" w:sz="0" w:space="0" w:color="auto"/>
        <w:right w:val="none" w:sz="0" w:space="0" w:color="auto"/>
      </w:divBdr>
    </w:div>
    <w:div w:id="568732823">
      <w:bodyDiv w:val="1"/>
      <w:marLeft w:val="0"/>
      <w:marRight w:val="0"/>
      <w:marTop w:val="0"/>
      <w:marBottom w:val="0"/>
      <w:divBdr>
        <w:top w:val="none" w:sz="0" w:space="0" w:color="auto"/>
        <w:left w:val="none" w:sz="0" w:space="0" w:color="auto"/>
        <w:bottom w:val="none" w:sz="0" w:space="0" w:color="auto"/>
        <w:right w:val="none" w:sz="0" w:space="0" w:color="auto"/>
      </w:divBdr>
    </w:div>
    <w:div w:id="573861743">
      <w:bodyDiv w:val="1"/>
      <w:marLeft w:val="0"/>
      <w:marRight w:val="0"/>
      <w:marTop w:val="0"/>
      <w:marBottom w:val="0"/>
      <w:divBdr>
        <w:top w:val="none" w:sz="0" w:space="0" w:color="auto"/>
        <w:left w:val="none" w:sz="0" w:space="0" w:color="auto"/>
        <w:bottom w:val="none" w:sz="0" w:space="0" w:color="auto"/>
        <w:right w:val="none" w:sz="0" w:space="0" w:color="auto"/>
      </w:divBdr>
      <w:divsChild>
        <w:div w:id="425229515">
          <w:marLeft w:val="0"/>
          <w:marRight w:val="0"/>
          <w:marTop w:val="0"/>
          <w:marBottom w:val="0"/>
          <w:divBdr>
            <w:top w:val="none" w:sz="0" w:space="0" w:color="auto"/>
            <w:left w:val="none" w:sz="0" w:space="0" w:color="auto"/>
            <w:bottom w:val="none" w:sz="0" w:space="0" w:color="auto"/>
            <w:right w:val="none" w:sz="0" w:space="0" w:color="auto"/>
          </w:divBdr>
          <w:divsChild>
            <w:div w:id="11761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63713">
      <w:bodyDiv w:val="1"/>
      <w:marLeft w:val="0"/>
      <w:marRight w:val="0"/>
      <w:marTop w:val="0"/>
      <w:marBottom w:val="0"/>
      <w:divBdr>
        <w:top w:val="none" w:sz="0" w:space="0" w:color="auto"/>
        <w:left w:val="none" w:sz="0" w:space="0" w:color="auto"/>
        <w:bottom w:val="none" w:sz="0" w:space="0" w:color="auto"/>
        <w:right w:val="none" w:sz="0" w:space="0" w:color="auto"/>
      </w:divBdr>
    </w:div>
    <w:div w:id="600181070">
      <w:bodyDiv w:val="1"/>
      <w:marLeft w:val="0"/>
      <w:marRight w:val="0"/>
      <w:marTop w:val="0"/>
      <w:marBottom w:val="0"/>
      <w:divBdr>
        <w:top w:val="none" w:sz="0" w:space="0" w:color="auto"/>
        <w:left w:val="none" w:sz="0" w:space="0" w:color="auto"/>
        <w:bottom w:val="none" w:sz="0" w:space="0" w:color="auto"/>
        <w:right w:val="none" w:sz="0" w:space="0" w:color="auto"/>
      </w:divBdr>
    </w:div>
    <w:div w:id="635791784">
      <w:bodyDiv w:val="1"/>
      <w:marLeft w:val="0"/>
      <w:marRight w:val="0"/>
      <w:marTop w:val="0"/>
      <w:marBottom w:val="0"/>
      <w:divBdr>
        <w:top w:val="none" w:sz="0" w:space="0" w:color="auto"/>
        <w:left w:val="none" w:sz="0" w:space="0" w:color="auto"/>
        <w:bottom w:val="none" w:sz="0" w:space="0" w:color="auto"/>
        <w:right w:val="none" w:sz="0" w:space="0" w:color="auto"/>
      </w:divBdr>
    </w:div>
    <w:div w:id="666595641">
      <w:bodyDiv w:val="1"/>
      <w:marLeft w:val="0"/>
      <w:marRight w:val="0"/>
      <w:marTop w:val="0"/>
      <w:marBottom w:val="0"/>
      <w:divBdr>
        <w:top w:val="none" w:sz="0" w:space="0" w:color="auto"/>
        <w:left w:val="none" w:sz="0" w:space="0" w:color="auto"/>
        <w:bottom w:val="none" w:sz="0" w:space="0" w:color="auto"/>
        <w:right w:val="none" w:sz="0" w:space="0" w:color="auto"/>
      </w:divBdr>
      <w:divsChild>
        <w:div w:id="1663698939">
          <w:marLeft w:val="0"/>
          <w:marRight w:val="0"/>
          <w:marTop w:val="0"/>
          <w:marBottom w:val="0"/>
          <w:divBdr>
            <w:top w:val="none" w:sz="0" w:space="0" w:color="auto"/>
            <w:left w:val="none" w:sz="0" w:space="0" w:color="auto"/>
            <w:bottom w:val="none" w:sz="0" w:space="0" w:color="auto"/>
            <w:right w:val="none" w:sz="0" w:space="0" w:color="auto"/>
          </w:divBdr>
          <w:divsChild>
            <w:div w:id="1681082302">
              <w:marLeft w:val="0"/>
              <w:marRight w:val="0"/>
              <w:marTop w:val="0"/>
              <w:marBottom w:val="0"/>
              <w:divBdr>
                <w:top w:val="none" w:sz="0" w:space="0" w:color="auto"/>
                <w:left w:val="none" w:sz="0" w:space="0" w:color="auto"/>
                <w:bottom w:val="none" w:sz="0" w:space="0" w:color="auto"/>
                <w:right w:val="none" w:sz="0" w:space="0" w:color="auto"/>
              </w:divBdr>
              <w:divsChild>
                <w:div w:id="967248669">
                  <w:marLeft w:val="0"/>
                  <w:marRight w:val="0"/>
                  <w:marTop w:val="0"/>
                  <w:marBottom w:val="0"/>
                  <w:divBdr>
                    <w:top w:val="none" w:sz="0" w:space="0" w:color="auto"/>
                    <w:left w:val="none" w:sz="0" w:space="0" w:color="auto"/>
                    <w:bottom w:val="none" w:sz="0" w:space="0" w:color="auto"/>
                    <w:right w:val="none" w:sz="0" w:space="0" w:color="auto"/>
                  </w:divBdr>
                  <w:divsChild>
                    <w:div w:id="1880892630">
                      <w:marLeft w:val="0"/>
                      <w:marRight w:val="0"/>
                      <w:marTop w:val="0"/>
                      <w:marBottom w:val="0"/>
                      <w:divBdr>
                        <w:top w:val="none" w:sz="0" w:space="0" w:color="auto"/>
                        <w:left w:val="none" w:sz="0" w:space="0" w:color="auto"/>
                        <w:bottom w:val="none" w:sz="0" w:space="0" w:color="auto"/>
                        <w:right w:val="none" w:sz="0" w:space="0" w:color="auto"/>
                      </w:divBdr>
                      <w:divsChild>
                        <w:div w:id="1461340365">
                          <w:marLeft w:val="0"/>
                          <w:marRight w:val="0"/>
                          <w:marTop w:val="0"/>
                          <w:marBottom w:val="0"/>
                          <w:divBdr>
                            <w:top w:val="none" w:sz="0" w:space="0" w:color="auto"/>
                            <w:left w:val="none" w:sz="0" w:space="0" w:color="auto"/>
                            <w:bottom w:val="none" w:sz="0" w:space="0" w:color="auto"/>
                            <w:right w:val="none" w:sz="0" w:space="0" w:color="auto"/>
                          </w:divBdr>
                          <w:divsChild>
                            <w:div w:id="1246458293">
                              <w:marLeft w:val="0"/>
                              <w:marRight w:val="0"/>
                              <w:marTop w:val="0"/>
                              <w:marBottom w:val="0"/>
                              <w:divBdr>
                                <w:top w:val="none" w:sz="0" w:space="0" w:color="auto"/>
                                <w:left w:val="none" w:sz="0" w:space="0" w:color="auto"/>
                                <w:bottom w:val="none" w:sz="0" w:space="0" w:color="auto"/>
                                <w:right w:val="none" w:sz="0" w:space="0" w:color="auto"/>
                              </w:divBdr>
                              <w:divsChild>
                                <w:div w:id="428621643">
                                  <w:marLeft w:val="0"/>
                                  <w:marRight w:val="0"/>
                                  <w:marTop w:val="0"/>
                                  <w:marBottom w:val="0"/>
                                  <w:divBdr>
                                    <w:top w:val="none" w:sz="0" w:space="0" w:color="auto"/>
                                    <w:left w:val="none" w:sz="0" w:space="0" w:color="auto"/>
                                    <w:bottom w:val="none" w:sz="0" w:space="0" w:color="auto"/>
                                    <w:right w:val="none" w:sz="0" w:space="0" w:color="auto"/>
                                  </w:divBdr>
                                  <w:divsChild>
                                    <w:div w:id="681323306">
                                      <w:marLeft w:val="0"/>
                                      <w:marRight w:val="0"/>
                                      <w:marTop w:val="0"/>
                                      <w:marBottom w:val="0"/>
                                      <w:divBdr>
                                        <w:top w:val="none" w:sz="0" w:space="0" w:color="auto"/>
                                        <w:left w:val="none" w:sz="0" w:space="0" w:color="auto"/>
                                        <w:bottom w:val="none" w:sz="0" w:space="0" w:color="auto"/>
                                        <w:right w:val="none" w:sz="0" w:space="0" w:color="auto"/>
                                      </w:divBdr>
                                    </w:div>
                                    <w:div w:id="1434402848">
                                      <w:marLeft w:val="0"/>
                                      <w:marRight w:val="0"/>
                                      <w:marTop w:val="0"/>
                                      <w:marBottom w:val="0"/>
                                      <w:divBdr>
                                        <w:top w:val="none" w:sz="0" w:space="0" w:color="auto"/>
                                        <w:left w:val="none" w:sz="0" w:space="0" w:color="auto"/>
                                        <w:bottom w:val="none" w:sz="0" w:space="0" w:color="auto"/>
                                        <w:right w:val="none" w:sz="0" w:space="0" w:color="auto"/>
                                      </w:divBdr>
                                      <w:divsChild>
                                        <w:div w:id="1905949944">
                                          <w:marLeft w:val="0"/>
                                          <w:marRight w:val="165"/>
                                          <w:marTop w:val="150"/>
                                          <w:marBottom w:val="0"/>
                                          <w:divBdr>
                                            <w:top w:val="none" w:sz="0" w:space="0" w:color="auto"/>
                                            <w:left w:val="none" w:sz="0" w:space="0" w:color="auto"/>
                                            <w:bottom w:val="none" w:sz="0" w:space="0" w:color="auto"/>
                                            <w:right w:val="none" w:sz="0" w:space="0" w:color="auto"/>
                                          </w:divBdr>
                                          <w:divsChild>
                                            <w:div w:id="157039493">
                                              <w:marLeft w:val="0"/>
                                              <w:marRight w:val="0"/>
                                              <w:marTop w:val="0"/>
                                              <w:marBottom w:val="0"/>
                                              <w:divBdr>
                                                <w:top w:val="none" w:sz="0" w:space="0" w:color="auto"/>
                                                <w:left w:val="none" w:sz="0" w:space="0" w:color="auto"/>
                                                <w:bottom w:val="none" w:sz="0" w:space="0" w:color="auto"/>
                                                <w:right w:val="none" w:sz="0" w:space="0" w:color="auto"/>
                                              </w:divBdr>
                                              <w:divsChild>
                                                <w:div w:id="1255871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192469">
      <w:bodyDiv w:val="1"/>
      <w:marLeft w:val="0"/>
      <w:marRight w:val="0"/>
      <w:marTop w:val="0"/>
      <w:marBottom w:val="0"/>
      <w:divBdr>
        <w:top w:val="none" w:sz="0" w:space="0" w:color="auto"/>
        <w:left w:val="none" w:sz="0" w:space="0" w:color="auto"/>
        <w:bottom w:val="none" w:sz="0" w:space="0" w:color="auto"/>
        <w:right w:val="none" w:sz="0" w:space="0" w:color="auto"/>
      </w:divBdr>
    </w:div>
    <w:div w:id="716515788">
      <w:bodyDiv w:val="1"/>
      <w:marLeft w:val="0"/>
      <w:marRight w:val="0"/>
      <w:marTop w:val="0"/>
      <w:marBottom w:val="0"/>
      <w:divBdr>
        <w:top w:val="none" w:sz="0" w:space="0" w:color="auto"/>
        <w:left w:val="none" w:sz="0" w:space="0" w:color="auto"/>
        <w:bottom w:val="none" w:sz="0" w:space="0" w:color="auto"/>
        <w:right w:val="none" w:sz="0" w:space="0" w:color="auto"/>
      </w:divBdr>
    </w:div>
    <w:div w:id="761341483">
      <w:bodyDiv w:val="1"/>
      <w:marLeft w:val="0"/>
      <w:marRight w:val="0"/>
      <w:marTop w:val="0"/>
      <w:marBottom w:val="0"/>
      <w:divBdr>
        <w:top w:val="none" w:sz="0" w:space="0" w:color="auto"/>
        <w:left w:val="none" w:sz="0" w:space="0" w:color="auto"/>
        <w:bottom w:val="none" w:sz="0" w:space="0" w:color="auto"/>
        <w:right w:val="none" w:sz="0" w:space="0" w:color="auto"/>
      </w:divBdr>
    </w:div>
    <w:div w:id="794951710">
      <w:bodyDiv w:val="1"/>
      <w:marLeft w:val="0"/>
      <w:marRight w:val="0"/>
      <w:marTop w:val="0"/>
      <w:marBottom w:val="0"/>
      <w:divBdr>
        <w:top w:val="none" w:sz="0" w:space="0" w:color="auto"/>
        <w:left w:val="none" w:sz="0" w:space="0" w:color="auto"/>
        <w:bottom w:val="none" w:sz="0" w:space="0" w:color="auto"/>
        <w:right w:val="none" w:sz="0" w:space="0" w:color="auto"/>
      </w:divBdr>
    </w:div>
    <w:div w:id="869799617">
      <w:bodyDiv w:val="1"/>
      <w:marLeft w:val="0"/>
      <w:marRight w:val="0"/>
      <w:marTop w:val="0"/>
      <w:marBottom w:val="0"/>
      <w:divBdr>
        <w:top w:val="none" w:sz="0" w:space="0" w:color="auto"/>
        <w:left w:val="none" w:sz="0" w:space="0" w:color="auto"/>
        <w:bottom w:val="none" w:sz="0" w:space="0" w:color="auto"/>
        <w:right w:val="none" w:sz="0" w:space="0" w:color="auto"/>
      </w:divBdr>
    </w:div>
    <w:div w:id="870192158">
      <w:bodyDiv w:val="1"/>
      <w:marLeft w:val="0"/>
      <w:marRight w:val="0"/>
      <w:marTop w:val="0"/>
      <w:marBottom w:val="0"/>
      <w:divBdr>
        <w:top w:val="none" w:sz="0" w:space="0" w:color="auto"/>
        <w:left w:val="none" w:sz="0" w:space="0" w:color="auto"/>
        <w:bottom w:val="none" w:sz="0" w:space="0" w:color="auto"/>
        <w:right w:val="none" w:sz="0" w:space="0" w:color="auto"/>
      </w:divBdr>
    </w:div>
    <w:div w:id="913123660">
      <w:bodyDiv w:val="1"/>
      <w:marLeft w:val="0"/>
      <w:marRight w:val="0"/>
      <w:marTop w:val="0"/>
      <w:marBottom w:val="0"/>
      <w:divBdr>
        <w:top w:val="none" w:sz="0" w:space="0" w:color="auto"/>
        <w:left w:val="none" w:sz="0" w:space="0" w:color="auto"/>
        <w:bottom w:val="none" w:sz="0" w:space="0" w:color="auto"/>
        <w:right w:val="none" w:sz="0" w:space="0" w:color="auto"/>
      </w:divBdr>
    </w:div>
    <w:div w:id="942570717">
      <w:bodyDiv w:val="1"/>
      <w:marLeft w:val="0"/>
      <w:marRight w:val="0"/>
      <w:marTop w:val="0"/>
      <w:marBottom w:val="0"/>
      <w:divBdr>
        <w:top w:val="none" w:sz="0" w:space="0" w:color="auto"/>
        <w:left w:val="none" w:sz="0" w:space="0" w:color="auto"/>
        <w:bottom w:val="none" w:sz="0" w:space="0" w:color="auto"/>
        <w:right w:val="none" w:sz="0" w:space="0" w:color="auto"/>
      </w:divBdr>
    </w:div>
    <w:div w:id="963268289">
      <w:bodyDiv w:val="1"/>
      <w:marLeft w:val="0"/>
      <w:marRight w:val="0"/>
      <w:marTop w:val="0"/>
      <w:marBottom w:val="0"/>
      <w:divBdr>
        <w:top w:val="none" w:sz="0" w:space="0" w:color="auto"/>
        <w:left w:val="none" w:sz="0" w:space="0" w:color="auto"/>
        <w:bottom w:val="none" w:sz="0" w:space="0" w:color="auto"/>
        <w:right w:val="none" w:sz="0" w:space="0" w:color="auto"/>
      </w:divBdr>
    </w:div>
    <w:div w:id="981151998">
      <w:bodyDiv w:val="1"/>
      <w:marLeft w:val="0"/>
      <w:marRight w:val="0"/>
      <w:marTop w:val="0"/>
      <w:marBottom w:val="0"/>
      <w:divBdr>
        <w:top w:val="none" w:sz="0" w:space="0" w:color="auto"/>
        <w:left w:val="none" w:sz="0" w:space="0" w:color="auto"/>
        <w:bottom w:val="none" w:sz="0" w:space="0" w:color="auto"/>
        <w:right w:val="none" w:sz="0" w:space="0" w:color="auto"/>
      </w:divBdr>
    </w:div>
    <w:div w:id="1041783886">
      <w:bodyDiv w:val="1"/>
      <w:marLeft w:val="0"/>
      <w:marRight w:val="0"/>
      <w:marTop w:val="0"/>
      <w:marBottom w:val="0"/>
      <w:divBdr>
        <w:top w:val="none" w:sz="0" w:space="0" w:color="auto"/>
        <w:left w:val="none" w:sz="0" w:space="0" w:color="auto"/>
        <w:bottom w:val="none" w:sz="0" w:space="0" w:color="auto"/>
        <w:right w:val="none" w:sz="0" w:space="0" w:color="auto"/>
      </w:divBdr>
    </w:div>
    <w:div w:id="1056511529">
      <w:bodyDiv w:val="1"/>
      <w:marLeft w:val="0"/>
      <w:marRight w:val="0"/>
      <w:marTop w:val="0"/>
      <w:marBottom w:val="0"/>
      <w:divBdr>
        <w:top w:val="none" w:sz="0" w:space="0" w:color="auto"/>
        <w:left w:val="none" w:sz="0" w:space="0" w:color="auto"/>
        <w:bottom w:val="none" w:sz="0" w:space="0" w:color="auto"/>
        <w:right w:val="none" w:sz="0" w:space="0" w:color="auto"/>
      </w:divBdr>
    </w:div>
    <w:div w:id="1071972814">
      <w:bodyDiv w:val="1"/>
      <w:marLeft w:val="0"/>
      <w:marRight w:val="0"/>
      <w:marTop w:val="0"/>
      <w:marBottom w:val="0"/>
      <w:divBdr>
        <w:top w:val="none" w:sz="0" w:space="0" w:color="auto"/>
        <w:left w:val="none" w:sz="0" w:space="0" w:color="auto"/>
        <w:bottom w:val="none" w:sz="0" w:space="0" w:color="auto"/>
        <w:right w:val="none" w:sz="0" w:space="0" w:color="auto"/>
      </w:divBdr>
    </w:div>
    <w:div w:id="1079985251">
      <w:bodyDiv w:val="1"/>
      <w:marLeft w:val="0"/>
      <w:marRight w:val="0"/>
      <w:marTop w:val="0"/>
      <w:marBottom w:val="0"/>
      <w:divBdr>
        <w:top w:val="none" w:sz="0" w:space="0" w:color="auto"/>
        <w:left w:val="none" w:sz="0" w:space="0" w:color="auto"/>
        <w:bottom w:val="none" w:sz="0" w:space="0" w:color="auto"/>
        <w:right w:val="none" w:sz="0" w:space="0" w:color="auto"/>
      </w:divBdr>
    </w:div>
    <w:div w:id="1085953305">
      <w:bodyDiv w:val="1"/>
      <w:marLeft w:val="0"/>
      <w:marRight w:val="0"/>
      <w:marTop w:val="0"/>
      <w:marBottom w:val="0"/>
      <w:divBdr>
        <w:top w:val="none" w:sz="0" w:space="0" w:color="auto"/>
        <w:left w:val="none" w:sz="0" w:space="0" w:color="auto"/>
        <w:bottom w:val="none" w:sz="0" w:space="0" w:color="auto"/>
        <w:right w:val="none" w:sz="0" w:space="0" w:color="auto"/>
      </w:divBdr>
    </w:div>
    <w:div w:id="1089733774">
      <w:bodyDiv w:val="1"/>
      <w:marLeft w:val="0"/>
      <w:marRight w:val="0"/>
      <w:marTop w:val="0"/>
      <w:marBottom w:val="0"/>
      <w:divBdr>
        <w:top w:val="none" w:sz="0" w:space="0" w:color="auto"/>
        <w:left w:val="none" w:sz="0" w:space="0" w:color="auto"/>
        <w:bottom w:val="none" w:sz="0" w:space="0" w:color="auto"/>
        <w:right w:val="none" w:sz="0" w:space="0" w:color="auto"/>
      </w:divBdr>
    </w:div>
    <w:div w:id="1096556553">
      <w:bodyDiv w:val="1"/>
      <w:marLeft w:val="0"/>
      <w:marRight w:val="0"/>
      <w:marTop w:val="0"/>
      <w:marBottom w:val="0"/>
      <w:divBdr>
        <w:top w:val="none" w:sz="0" w:space="0" w:color="auto"/>
        <w:left w:val="none" w:sz="0" w:space="0" w:color="auto"/>
        <w:bottom w:val="none" w:sz="0" w:space="0" w:color="auto"/>
        <w:right w:val="none" w:sz="0" w:space="0" w:color="auto"/>
      </w:divBdr>
    </w:div>
    <w:div w:id="1099258820">
      <w:bodyDiv w:val="1"/>
      <w:marLeft w:val="0"/>
      <w:marRight w:val="0"/>
      <w:marTop w:val="0"/>
      <w:marBottom w:val="0"/>
      <w:divBdr>
        <w:top w:val="none" w:sz="0" w:space="0" w:color="auto"/>
        <w:left w:val="none" w:sz="0" w:space="0" w:color="auto"/>
        <w:bottom w:val="none" w:sz="0" w:space="0" w:color="auto"/>
        <w:right w:val="none" w:sz="0" w:space="0" w:color="auto"/>
      </w:divBdr>
      <w:divsChild>
        <w:div w:id="57941073">
          <w:marLeft w:val="0"/>
          <w:marRight w:val="0"/>
          <w:marTop w:val="0"/>
          <w:marBottom w:val="0"/>
          <w:divBdr>
            <w:top w:val="none" w:sz="0" w:space="0" w:color="auto"/>
            <w:left w:val="none" w:sz="0" w:space="0" w:color="auto"/>
            <w:bottom w:val="none" w:sz="0" w:space="0" w:color="auto"/>
            <w:right w:val="none" w:sz="0" w:space="0" w:color="auto"/>
          </w:divBdr>
        </w:div>
        <w:div w:id="419252848">
          <w:marLeft w:val="0"/>
          <w:marRight w:val="0"/>
          <w:marTop w:val="0"/>
          <w:marBottom w:val="0"/>
          <w:divBdr>
            <w:top w:val="none" w:sz="0" w:space="0" w:color="auto"/>
            <w:left w:val="none" w:sz="0" w:space="0" w:color="auto"/>
            <w:bottom w:val="none" w:sz="0" w:space="0" w:color="auto"/>
            <w:right w:val="none" w:sz="0" w:space="0" w:color="auto"/>
          </w:divBdr>
        </w:div>
        <w:div w:id="526990007">
          <w:marLeft w:val="0"/>
          <w:marRight w:val="0"/>
          <w:marTop w:val="0"/>
          <w:marBottom w:val="0"/>
          <w:divBdr>
            <w:top w:val="none" w:sz="0" w:space="0" w:color="auto"/>
            <w:left w:val="none" w:sz="0" w:space="0" w:color="auto"/>
            <w:bottom w:val="none" w:sz="0" w:space="0" w:color="auto"/>
            <w:right w:val="none" w:sz="0" w:space="0" w:color="auto"/>
          </w:divBdr>
        </w:div>
        <w:div w:id="837312084">
          <w:marLeft w:val="0"/>
          <w:marRight w:val="0"/>
          <w:marTop w:val="0"/>
          <w:marBottom w:val="0"/>
          <w:divBdr>
            <w:top w:val="none" w:sz="0" w:space="0" w:color="auto"/>
            <w:left w:val="none" w:sz="0" w:space="0" w:color="auto"/>
            <w:bottom w:val="none" w:sz="0" w:space="0" w:color="auto"/>
            <w:right w:val="none" w:sz="0" w:space="0" w:color="auto"/>
          </w:divBdr>
        </w:div>
        <w:div w:id="957565560">
          <w:marLeft w:val="0"/>
          <w:marRight w:val="0"/>
          <w:marTop w:val="0"/>
          <w:marBottom w:val="0"/>
          <w:divBdr>
            <w:top w:val="none" w:sz="0" w:space="0" w:color="auto"/>
            <w:left w:val="none" w:sz="0" w:space="0" w:color="auto"/>
            <w:bottom w:val="none" w:sz="0" w:space="0" w:color="auto"/>
            <w:right w:val="none" w:sz="0" w:space="0" w:color="auto"/>
          </w:divBdr>
        </w:div>
        <w:div w:id="1312904904">
          <w:marLeft w:val="0"/>
          <w:marRight w:val="0"/>
          <w:marTop w:val="0"/>
          <w:marBottom w:val="0"/>
          <w:divBdr>
            <w:top w:val="none" w:sz="0" w:space="0" w:color="auto"/>
            <w:left w:val="none" w:sz="0" w:space="0" w:color="auto"/>
            <w:bottom w:val="none" w:sz="0" w:space="0" w:color="auto"/>
            <w:right w:val="none" w:sz="0" w:space="0" w:color="auto"/>
          </w:divBdr>
        </w:div>
        <w:div w:id="1328943346">
          <w:marLeft w:val="0"/>
          <w:marRight w:val="0"/>
          <w:marTop w:val="0"/>
          <w:marBottom w:val="0"/>
          <w:divBdr>
            <w:top w:val="none" w:sz="0" w:space="0" w:color="auto"/>
            <w:left w:val="none" w:sz="0" w:space="0" w:color="auto"/>
            <w:bottom w:val="none" w:sz="0" w:space="0" w:color="auto"/>
            <w:right w:val="none" w:sz="0" w:space="0" w:color="auto"/>
          </w:divBdr>
        </w:div>
        <w:div w:id="1572884424">
          <w:marLeft w:val="0"/>
          <w:marRight w:val="0"/>
          <w:marTop w:val="0"/>
          <w:marBottom w:val="0"/>
          <w:divBdr>
            <w:top w:val="none" w:sz="0" w:space="0" w:color="auto"/>
            <w:left w:val="none" w:sz="0" w:space="0" w:color="auto"/>
            <w:bottom w:val="none" w:sz="0" w:space="0" w:color="auto"/>
            <w:right w:val="none" w:sz="0" w:space="0" w:color="auto"/>
          </w:divBdr>
        </w:div>
        <w:div w:id="1673602748">
          <w:marLeft w:val="0"/>
          <w:marRight w:val="0"/>
          <w:marTop w:val="0"/>
          <w:marBottom w:val="0"/>
          <w:divBdr>
            <w:top w:val="none" w:sz="0" w:space="0" w:color="auto"/>
            <w:left w:val="none" w:sz="0" w:space="0" w:color="auto"/>
            <w:bottom w:val="none" w:sz="0" w:space="0" w:color="auto"/>
            <w:right w:val="none" w:sz="0" w:space="0" w:color="auto"/>
          </w:divBdr>
        </w:div>
      </w:divsChild>
    </w:div>
    <w:div w:id="1190215937">
      <w:bodyDiv w:val="1"/>
      <w:marLeft w:val="0"/>
      <w:marRight w:val="0"/>
      <w:marTop w:val="0"/>
      <w:marBottom w:val="0"/>
      <w:divBdr>
        <w:top w:val="none" w:sz="0" w:space="0" w:color="auto"/>
        <w:left w:val="none" w:sz="0" w:space="0" w:color="auto"/>
        <w:bottom w:val="none" w:sz="0" w:space="0" w:color="auto"/>
        <w:right w:val="none" w:sz="0" w:space="0" w:color="auto"/>
      </w:divBdr>
    </w:div>
    <w:div w:id="1235698704">
      <w:bodyDiv w:val="1"/>
      <w:marLeft w:val="0"/>
      <w:marRight w:val="0"/>
      <w:marTop w:val="0"/>
      <w:marBottom w:val="0"/>
      <w:divBdr>
        <w:top w:val="none" w:sz="0" w:space="0" w:color="auto"/>
        <w:left w:val="none" w:sz="0" w:space="0" w:color="auto"/>
        <w:bottom w:val="none" w:sz="0" w:space="0" w:color="auto"/>
        <w:right w:val="none" w:sz="0" w:space="0" w:color="auto"/>
      </w:divBdr>
    </w:div>
    <w:div w:id="1237939109">
      <w:bodyDiv w:val="1"/>
      <w:marLeft w:val="0"/>
      <w:marRight w:val="0"/>
      <w:marTop w:val="0"/>
      <w:marBottom w:val="0"/>
      <w:divBdr>
        <w:top w:val="none" w:sz="0" w:space="0" w:color="auto"/>
        <w:left w:val="none" w:sz="0" w:space="0" w:color="auto"/>
        <w:bottom w:val="none" w:sz="0" w:space="0" w:color="auto"/>
        <w:right w:val="none" w:sz="0" w:space="0" w:color="auto"/>
      </w:divBdr>
    </w:div>
    <w:div w:id="1239367686">
      <w:bodyDiv w:val="1"/>
      <w:marLeft w:val="0"/>
      <w:marRight w:val="0"/>
      <w:marTop w:val="0"/>
      <w:marBottom w:val="0"/>
      <w:divBdr>
        <w:top w:val="none" w:sz="0" w:space="0" w:color="auto"/>
        <w:left w:val="none" w:sz="0" w:space="0" w:color="auto"/>
        <w:bottom w:val="none" w:sz="0" w:space="0" w:color="auto"/>
        <w:right w:val="none" w:sz="0" w:space="0" w:color="auto"/>
      </w:divBdr>
    </w:div>
    <w:div w:id="1244757560">
      <w:bodyDiv w:val="1"/>
      <w:marLeft w:val="0"/>
      <w:marRight w:val="0"/>
      <w:marTop w:val="0"/>
      <w:marBottom w:val="0"/>
      <w:divBdr>
        <w:top w:val="none" w:sz="0" w:space="0" w:color="auto"/>
        <w:left w:val="none" w:sz="0" w:space="0" w:color="auto"/>
        <w:bottom w:val="none" w:sz="0" w:space="0" w:color="auto"/>
        <w:right w:val="none" w:sz="0" w:space="0" w:color="auto"/>
      </w:divBdr>
      <w:divsChild>
        <w:div w:id="816191124">
          <w:marLeft w:val="0"/>
          <w:marRight w:val="0"/>
          <w:marTop w:val="0"/>
          <w:marBottom w:val="0"/>
          <w:divBdr>
            <w:top w:val="none" w:sz="0" w:space="0" w:color="auto"/>
            <w:left w:val="none" w:sz="0" w:space="0" w:color="auto"/>
            <w:bottom w:val="none" w:sz="0" w:space="0" w:color="auto"/>
            <w:right w:val="none" w:sz="0" w:space="0" w:color="auto"/>
          </w:divBdr>
        </w:div>
        <w:div w:id="736317248">
          <w:marLeft w:val="0"/>
          <w:marRight w:val="0"/>
          <w:marTop w:val="0"/>
          <w:marBottom w:val="0"/>
          <w:divBdr>
            <w:top w:val="none" w:sz="0" w:space="0" w:color="auto"/>
            <w:left w:val="none" w:sz="0" w:space="0" w:color="auto"/>
            <w:bottom w:val="none" w:sz="0" w:space="0" w:color="auto"/>
            <w:right w:val="none" w:sz="0" w:space="0" w:color="auto"/>
          </w:divBdr>
        </w:div>
        <w:div w:id="1858231798">
          <w:marLeft w:val="0"/>
          <w:marRight w:val="0"/>
          <w:marTop w:val="0"/>
          <w:marBottom w:val="0"/>
          <w:divBdr>
            <w:top w:val="none" w:sz="0" w:space="0" w:color="auto"/>
            <w:left w:val="none" w:sz="0" w:space="0" w:color="auto"/>
            <w:bottom w:val="none" w:sz="0" w:space="0" w:color="auto"/>
            <w:right w:val="none" w:sz="0" w:space="0" w:color="auto"/>
          </w:divBdr>
        </w:div>
      </w:divsChild>
    </w:div>
    <w:div w:id="1264150605">
      <w:bodyDiv w:val="1"/>
      <w:marLeft w:val="0"/>
      <w:marRight w:val="0"/>
      <w:marTop w:val="0"/>
      <w:marBottom w:val="0"/>
      <w:divBdr>
        <w:top w:val="none" w:sz="0" w:space="0" w:color="auto"/>
        <w:left w:val="none" w:sz="0" w:space="0" w:color="auto"/>
        <w:bottom w:val="none" w:sz="0" w:space="0" w:color="auto"/>
        <w:right w:val="none" w:sz="0" w:space="0" w:color="auto"/>
      </w:divBdr>
    </w:div>
    <w:div w:id="1300501819">
      <w:bodyDiv w:val="1"/>
      <w:marLeft w:val="0"/>
      <w:marRight w:val="0"/>
      <w:marTop w:val="0"/>
      <w:marBottom w:val="0"/>
      <w:divBdr>
        <w:top w:val="none" w:sz="0" w:space="0" w:color="auto"/>
        <w:left w:val="none" w:sz="0" w:space="0" w:color="auto"/>
        <w:bottom w:val="none" w:sz="0" w:space="0" w:color="auto"/>
        <w:right w:val="none" w:sz="0" w:space="0" w:color="auto"/>
      </w:divBdr>
    </w:div>
    <w:div w:id="1320117984">
      <w:bodyDiv w:val="1"/>
      <w:marLeft w:val="0"/>
      <w:marRight w:val="0"/>
      <w:marTop w:val="0"/>
      <w:marBottom w:val="0"/>
      <w:divBdr>
        <w:top w:val="none" w:sz="0" w:space="0" w:color="auto"/>
        <w:left w:val="none" w:sz="0" w:space="0" w:color="auto"/>
        <w:bottom w:val="none" w:sz="0" w:space="0" w:color="auto"/>
        <w:right w:val="none" w:sz="0" w:space="0" w:color="auto"/>
      </w:divBdr>
    </w:div>
    <w:div w:id="1339502094">
      <w:bodyDiv w:val="1"/>
      <w:marLeft w:val="0"/>
      <w:marRight w:val="0"/>
      <w:marTop w:val="0"/>
      <w:marBottom w:val="0"/>
      <w:divBdr>
        <w:top w:val="none" w:sz="0" w:space="0" w:color="auto"/>
        <w:left w:val="none" w:sz="0" w:space="0" w:color="auto"/>
        <w:bottom w:val="none" w:sz="0" w:space="0" w:color="auto"/>
        <w:right w:val="none" w:sz="0" w:space="0" w:color="auto"/>
      </w:divBdr>
    </w:div>
    <w:div w:id="1380595926">
      <w:bodyDiv w:val="1"/>
      <w:marLeft w:val="0"/>
      <w:marRight w:val="0"/>
      <w:marTop w:val="0"/>
      <w:marBottom w:val="0"/>
      <w:divBdr>
        <w:top w:val="none" w:sz="0" w:space="0" w:color="auto"/>
        <w:left w:val="none" w:sz="0" w:space="0" w:color="auto"/>
        <w:bottom w:val="none" w:sz="0" w:space="0" w:color="auto"/>
        <w:right w:val="none" w:sz="0" w:space="0" w:color="auto"/>
      </w:divBdr>
      <w:divsChild>
        <w:div w:id="837622013">
          <w:marLeft w:val="0"/>
          <w:marRight w:val="0"/>
          <w:marTop w:val="0"/>
          <w:marBottom w:val="0"/>
          <w:divBdr>
            <w:top w:val="none" w:sz="0" w:space="0" w:color="auto"/>
            <w:left w:val="none" w:sz="0" w:space="0" w:color="auto"/>
            <w:bottom w:val="none" w:sz="0" w:space="0" w:color="auto"/>
            <w:right w:val="none" w:sz="0" w:space="0" w:color="auto"/>
          </w:divBdr>
        </w:div>
        <w:div w:id="831915521">
          <w:marLeft w:val="0"/>
          <w:marRight w:val="0"/>
          <w:marTop w:val="0"/>
          <w:marBottom w:val="0"/>
          <w:divBdr>
            <w:top w:val="none" w:sz="0" w:space="0" w:color="auto"/>
            <w:left w:val="none" w:sz="0" w:space="0" w:color="auto"/>
            <w:bottom w:val="none" w:sz="0" w:space="0" w:color="auto"/>
            <w:right w:val="none" w:sz="0" w:space="0" w:color="auto"/>
          </w:divBdr>
        </w:div>
      </w:divsChild>
    </w:div>
    <w:div w:id="1383748853">
      <w:bodyDiv w:val="1"/>
      <w:marLeft w:val="0"/>
      <w:marRight w:val="0"/>
      <w:marTop w:val="0"/>
      <w:marBottom w:val="0"/>
      <w:divBdr>
        <w:top w:val="none" w:sz="0" w:space="0" w:color="auto"/>
        <w:left w:val="none" w:sz="0" w:space="0" w:color="auto"/>
        <w:bottom w:val="none" w:sz="0" w:space="0" w:color="auto"/>
        <w:right w:val="none" w:sz="0" w:space="0" w:color="auto"/>
      </w:divBdr>
    </w:div>
    <w:div w:id="1385368273">
      <w:bodyDiv w:val="1"/>
      <w:marLeft w:val="0"/>
      <w:marRight w:val="0"/>
      <w:marTop w:val="0"/>
      <w:marBottom w:val="0"/>
      <w:divBdr>
        <w:top w:val="none" w:sz="0" w:space="0" w:color="auto"/>
        <w:left w:val="none" w:sz="0" w:space="0" w:color="auto"/>
        <w:bottom w:val="none" w:sz="0" w:space="0" w:color="auto"/>
        <w:right w:val="none" w:sz="0" w:space="0" w:color="auto"/>
      </w:divBdr>
    </w:div>
    <w:div w:id="1394504437">
      <w:bodyDiv w:val="1"/>
      <w:marLeft w:val="0"/>
      <w:marRight w:val="0"/>
      <w:marTop w:val="0"/>
      <w:marBottom w:val="0"/>
      <w:divBdr>
        <w:top w:val="none" w:sz="0" w:space="0" w:color="auto"/>
        <w:left w:val="none" w:sz="0" w:space="0" w:color="auto"/>
        <w:bottom w:val="none" w:sz="0" w:space="0" w:color="auto"/>
        <w:right w:val="none" w:sz="0" w:space="0" w:color="auto"/>
      </w:divBdr>
    </w:div>
    <w:div w:id="1445421913">
      <w:bodyDiv w:val="1"/>
      <w:marLeft w:val="0"/>
      <w:marRight w:val="0"/>
      <w:marTop w:val="0"/>
      <w:marBottom w:val="0"/>
      <w:divBdr>
        <w:top w:val="none" w:sz="0" w:space="0" w:color="auto"/>
        <w:left w:val="none" w:sz="0" w:space="0" w:color="auto"/>
        <w:bottom w:val="none" w:sz="0" w:space="0" w:color="auto"/>
        <w:right w:val="none" w:sz="0" w:space="0" w:color="auto"/>
      </w:divBdr>
    </w:div>
    <w:div w:id="1449012379">
      <w:bodyDiv w:val="1"/>
      <w:marLeft w:val="0"/>
      <w:marRight w:val="0"/>
      <w:marTop w:val="0"/>
      <w:marBottom w:val="0"/>
      <w:divBdr>
        <w:top w:val="none" w:sz="0" w:space="0" w:color="auto"/>
        <w:left w:val="none" w:sz="0" w:space="0" w:color="auto"/>
        <w:bottom w:val="none" w:sz="0" w:space="0" w:color="auto"/>
        <w:right w:val="none" w:sz="0" w:space="0" w:color="auto"/>
      </w:divBdr>
    </w:div>
    <w:div w:id="1458992373">
      <w:bodyDiv w:val="1"/>
      <w:marLeft w:val="0"/>
      <w:marRight w:val="0"/>
      <w:marTop w:val="0"/>
      <w:marBottom w:val="0"/>
      <w:divBdr>
        <w:top w:val="none" w:sz="0" w:space="0" w:color="auto"/>
        <w:left w:val="none" w:sz="0" w:space="0" w:color="auto"/>
        <w:bottom w:val="none" w:sz="0" w:space="0" w:color="auto"/>
        <w:right w:val="none" w:sz="0" w:space="0" w:color="auto"/>
      </w:divBdr>
    </w:div>
    <w:div w:id="1476796433">
      <w:bodyDiv w:val="1"/>
      <w:marLeft w:val="0"/>
      <w:marRight w:val="0"/>
      <w:marTop w:val="0"/>
      <w:marBottom w:val="0"/>
      <w:divBdr>
        <w:top w:val="none" w:sz="0" w:space="0" w:color="auto"/>
        <w:left w:val="none" w:sz="0" w:space="0" w:color="auto"/>
        <w:bottom w:val="none" w:sz="0" w:space="0" w:color="auto"/>
        <w:right w:val="none" w:sz="0" w:space="0" w:color="auto"/>
      </w:divBdr>
    </w:div>
    <w:div w:id="1479879069">
      <w:bodyDiv w:val="1"/>
      <w:marLeft w:val="0"/>
      <w:marRight w:val="0"/>
      <w:marTop w:val="0"/>
      <w:marBottom w:val="0"/>
      <w:divBdr>
        <w:top w:val="none" w:sz="0" w:space="0" w:color="auto"/>
        <w:left w:val="none" w:sz="0" w:space="0" w:color="auto"/>
        <w:bottom w:val="none" w:sz="0" w:space="0" w:color="auto"/>
        <w:right w:val="none" w:sz="0" w:space="0" w:color="auto"/>
      </w:divBdr>
    </w:div>
    <w:div w:id="1516917111">
      <w:bodyDiv w:val="1"/>
      <w:marLeft w:val="0"/>
      <w:marRight w:val="0"/>
      <w:marTop w:val="0"/>
      <w:marBottom w:val="0"/>
      <w:divBdr>
        <w:top w:val="none" w:sz="0" w:space="0" w:color="auto"/>
        <w:left w:val="none" w:sz="0" w:space="0" w:color="auto"/>
        <w:bottom w:val="none" w:sz="0" w:space="0" w:color="auto"/>
        <w:right w:val="none" w:sz="0" w:space="0" w:color="auto"/>
      </w:divBdr>
    </w:div>
    <w:div w:id="1594314105">
      <w:bodyDiv w:val="1"/>
      <w:marLeft w:val="0"/>
      <w:marRight w:val="0"/>
      <w:marTop w:val="0"/>
      <w:marBottom w:val="0"/>
      <w:divBdr>
        <w:top w:val="none" w:sz="0" w:space="0" w:color="auto"/>
        <w:left w:val="none" w:sz="0" w:space="0" w:color="auto"/>
        <w:bottom w:val="none" w:sz="0" w:space="0" w:color="auto"/>
        <w:right w:val="none" w:sz="0" w:space="0" w:color="auto"/>
      </w:divBdr>
    </w:div>
    <w:div w:id="1628857269">
      <w:bodyDiv w:val="1"/>
      <w:marLeft w:val="0"/>
      <w:marRight w:val="0"/>
      <w:marTop w:val="0"/>
      <w:marBottom w:val="0"/>
      <w:divBdr>
        <w:top w:val="none" w:sz="0" w:space="0" w:color="auto"/>
        <w:left w:val="none" w:sz="0" w:space="0" w:color="auto"/>
        <w:bottom w:val="none" w:sz="0" w:space="0" w:color="auto"/>
        <w:right w:val="none" w:sz="0" w:space="0" w:color="auto"/>
      </w:divBdr>
    </w:div>
    <w:div w:id="1640963702">
      <w:bodyDiv w:val="1"/>
      <w:marLeft w:val="0"/>
      <w:marRight w:val="0"/>
      <w:marTop w:val="0"/>
      <w:marBottom w:val="0"/>
      <w:divBdr>
        <w:top w:val="none" w:sz="0" w:space="0" w:color="auto"/>
        <w:left w:val="none" w:sz="0" w:space="0" w:color="auto"/>
        <w:bottom w:val="none" w:sz="0" w:space="0" w:color="auto"/>
        <w:right w:val="none" w:sz="0" w:space="0" w:color="auto"/>
      </w:divBdr>
    </w:div>
    <w:div w:id="1663583590">
      <w:bodyDiv w:val="1"/>
      <w:marLeft w:val="0"/>
      <w:marRight w:val="0"/>
      <w:marTop w:val="0"/>
      <w:marBottom w:val="0"/>
      <w:divBdr>
        <w:top w:val="none" w:sz="0" w:space="0" w:color="auto"/>
        <w:left w:val="none" w:sz="0" w:space="0" w:color="auto"/>
        <w:bottom w:val="none" w:sz="0" w:space="0" w:color="auto"/>
        <w:right w:val="none" w:sz="0" w:space="0" w:color="auto"/>
      </w:divBdr>
    </w:div>
    <w:div w:id="1719888849">
      <w:bodyDiv w:val="1"/>
      <w:marLeft w:val="0"/>
      <w:marRight w:val="0"/>
      <w:marTop w:val="0"/>
      <w:marBottom w:val="0"/>
      <w:divBdr>
        <w:top w:val="none" w:sz="0" w:space="0" w:color="auto"/>
        <w:left w:val="none" w:sz="0" w:space="0" w:color="auto"/>
        <w:bottom w:val="none" w:sz="0" w:space="0" w:color="auto"/>
        <w:right w:val="none" w:sz="0" w:space="0" w:color="auto"/>
      </w:divBdr>
    </w:div>
    <w:div w:id="1739552633">
      <w:bodyDiv w:val="1"/>
      <w:marLeft w:val="0"/>
      <w:marRight w:val="0"/>
      <w:marTop w:val="0"/>
      <w:marBottom w:val="0"/>
      <w:divBdr>
        <w:top w:val="none" w:sz="0" w:space="0" w:color="auto"/>
        <w:left w:val="none" w:sz="0" w:space="0" w:color="auto"/>
        <w:bottom w:val="none" w:sz="0" w:space="0" w:color="auto"/>
        <w:right w:val="none" w:sz="0" w:space="0" w:color="auto"/>
      </w:divBdr>
    </w:div>
    <w:div w:id="1743603424">
      <w:bodyDiv w:val="1"/>
      <w:marLeft w:val="0"/>
      <w:marRight w:val="0"/>
      <w:marTop w:val="0"/>
      <w:marBottom w:val="0"/>
      <w:divBdr>
        <w:top w:val="none" w:sz="0" w:space="0" w:color="auto"/>
        <w:left w:val="none" w:sz="0" w:space="0" w:color="auto"/>
        <w:bottom w:val="none" w:sz="0" w:space="0" w:color="auto"/>
        <w:right w:val="none" w:sz="0" w:space="0" w:color="auto"/>
      </w:divBdr>
    </w:div>
    <w:div w:id="1765875281">
      <w:bodyDiv w:val="1"/>
      <w:marLeft w:val="0"/>
      <w:marRight w:val="0"/>
      <w:marTop w:val="0"/>
      <w:marBottom w:val="0"/>
      <w:divBdr>
        <w:top w:val="none" w:sz="0" w:space="0" w:color="auto"/>
        <w:left w:val="none" w:sz="0" w:space="0" w:color="auto"/>
        <w:bottom w:val="none" w:sz="0" w:space="0" w:color="auto"/>
        <w:right w:val="none" w:sz="0" w:space="0" w:color="auto"/>
      </w:divBdr>
    </w:div>
    <w:div w:id="1789540832">
      <w:bodyDiv w:val="1"/>
      <w:marLeft w:val="0"/>
      <w:marRight w:val="0"/>
      <w:marTop w:val="0"/>
      <w:marBottom w:val="0"/>
      <w:divBdr>
        <w:top w:val="none" w:sz="0" w:space="0" w:color="auto"/>
        <w:left w:val="none" w:sz="0" w:space="0" w:color="auto"/>
        <w:bottom w:val="none" w:sz="0" w:space="0" w:color="auto"/>
        <w:right w:val="none" w:sz="0" w:space="0" w:color="auto"/>
      </w:divBdr>
    </w:div>
    <w:div w:id="1821575622">
      <w:bodyDiv w:val="1"/>
      <w:marLeft w:val="0"/>
      <w:marRight w:val="0"/>
      <w:marTop w:val="0"/>
      <w:marBottom w:val="0"/>
      <w:divBdr>
        <w:top w:val="none" w:sz="0" w:space="0" w:color="auto"/>
        <w:left w:val="none" w:sz="0" w:space="0" w:color="auto"/>
        <w:bottom w:val="none" w:sz="0" w:space="0" w:color="auto"/>
        <w:right w:val="none" w:sz="0" w:space="0" w:color="auto"/>
      </w:divBdr>
    </w:div>
    <w:div w:id="1836457639">
      <w:bodyDiv w:val="1"/>
      <w:marLeft w:val="0"/>
      <w:marRight w:val="0"/>
      <w:marTop w:val="0"/>
      <w:marBottom w:val="0"/>
      <w:divBdr>
        <w:top w:val="none" w:sz="0" w:space="0" w:color="auto"/>
        <w:left w:val="none" w:sz="0" w:space="0" w:color="auto"/>
        <w:bottom w:val="none" w:sz="0" w:space="0" w:color="auto"/>
        <w:right w:val="none" w:sz="0" w:space="0" w:color="auto"/>
      </w:divBdr>
    </w:div>
    <w:div w:id="1990283272">
      <w:bodyDiv w:val="1"/>
      <w:marLeft w:val="0"/>
      <w:marRight w:val="0"/>
      <w:marTop w:val="0"/>
      <w:marBottom w:val="0"/>
      <w:divBdr>
        <w:top w:val="none" w:sz="0" w:space="0" w:color="auto"/>
        <w:left w:val="none" w:sz="0" w:space="0" w:color="auto"/>
        <w:bottom w:val="none" w:sz="0" w:space="0" w:color="auto"/>
        <w:right w:val="none" w:sz="0" w:space="0" w:color="auto"/>
      </w:divBdr>
    </w:div>
    <w:div w:id="2010792151">
      <w:bodyDiv w:val="1"/>
      <w:marLeft w:val="0"/>
      <w:marRight w:val="0"/>
      <w:marTop w:val="0"/>
      <w:marBottom w:val="0"/>
      <w:divBdr>
        <w:top w:val="none" w:sz="0" w:space="0" w:color="auto"/>
        <w:left w:val="none" w:sz="0" w:space="0" w:color="auto"/>
        <w:bottom w:val="none" w:sz="0" w:space="0" w:color="auto"/>
        <w:right w:val="none" w:sz="0" w:space="0" w:color="auto"/>
      </w:divBdr>
    </w:div>
    <w:div w:id="206105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rinazolotova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rscf.ru/" TargetMode="External"/><Relationship Id="rId4" Type="http://schemas.openxmlformats.org/officeDocument/2006/relationships/settings" Target="settings.xml"/><Relationship Id="rId9" Type="http://schemas.openxmlformats.org/officeDocument/2006/relationships/hyperlink" Target="mailto:katerinazolotova1@gmail.com" TargetMode="External"/><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F4762-07AB-43C1-A2F2-D77AF7B62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20</Pages>
  <Words>10828</Words>
  <Characters>61724</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dc:description/>
  <cp:lastModifiedBy>Catherine</cp:lastModifiedBy>
  <cp:revision>6</cp:revision>
  <dcterms:created xsi:type="dcterms:W3CDTF">2022-11-08T16:13:00Z</dcterms:created>
  <dcterms:modified xsi:type="dcterms:W3CDTF">2022-11-08T18:57:00Z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zotero-version="6.0.15"&gt;&lt;session id="MkePDU5i"/&gt;&lt;style id="http://www.zotero.org/styles/vancouver" locale="ru-RU"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