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B" w:rsidRPr="0001791C" w:rsidRDefault="00CF644B" w:rsidP="00873791">
      <w:pPr>
        <w:pStyle w:val="a4"/>
        <w:spacing w:after="200" w:line="480" w:lineRule="auto"/>
        <w:ind w:left="0"/>
        <w:jc w:val="both"/>
        <w:rPr>
          <w:b/>
          <w:sz w:val="28"/>
          <w:szCs w:val="28"/>
        </w:rPr>
      </w:pPr>
    </w:p>
    <w:p w:rsidR="008E345E" w:rsidRPr="0001791C" w:rsidRDefault="00044440" w:rsidP="00873791">
      <w:pPr>
        <w:widowControl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1791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конце 2019 года распространение новой </w:t>
      </w:r>
      <w:proofErr w:type="spellStart"/>
      <w:r w:rsidRPr="0001791C">
        <w:rPr>
          <w:rFonts w:ascii="Times New Roman" w:eastAsia="Arial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1791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инфекции, вызванной вирусом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SARS</w:t>
      </w:r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-CoV-2, по данным ВОЗ</w:t>
      </w:r>
      <w:r w:rsidR="0098276E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августу 2</w:t>
      </w:r>
      <w:r w:rsidR="0098276E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года </w:t>
      </w:r>
      <w:r w:rsidR="0098276E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привело </w:t>
      </w:r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развитию COVID-19 у более 17,0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</w:t>
      </w:r>
      <w:proofErr w:type="gramStart"/>
      <w:r w:rsidR="0098276E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смерти </w:t>
      </w:r>
      <w:r w:rsidR="008859B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675 тыс</w:t>
      </w:r>
      <w:r w:rsidR="0098276E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hyperlink r:id="rId8" w:history="1">
        <w:r w:rsidRPr="000179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https://who.sprinklr.com/</w:t>
        </w:r>
      </w:hyperlink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связано с тяжелыми проявлениями заболевания чаще всего  у взрослых (1, 2, 3, 4, 5). 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Коронавирус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впервые был выделен от цыплят в 1931 г. американскими ветеринарами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A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F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Schalk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Hawn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(6).  В 1965 году в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D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A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J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Tyrrell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L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Bynoe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(Великобритания)</w:t>
      </w:r>
      <w:r w:rsidR="0098276E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используя органную культуру трахеи 14-22-недельного человеческого эмбриона</w:t>
      </w:r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98276E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получили</w:t>
      </w:r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штамм первого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коронавируса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человека (</w:t>
      </w:r>
      <w:proofErr w:type="spellStart"/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HCoV</w:t>
      </w:r>
      <w:proofErr w:type="spellEnd"/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— </w:t>
      </w:r>
      <w:proofErr w:type="spellStart"/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Human</w:t>
      </w:r>
      <w:proofErr w:type="spellEnd"/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coronavirus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(</w:t>
      </w:r>
      <w:r w:rsidRPr="0001791C">
        <w:rPr>
          <w:rFonts w:ascii="Times New Roman" w:hAnsi="Times New Roman" w:cs="Times New Roman"/>
          <w:sz w:val="28"/>
          <w:szCs w:val="28"/>
        </w:rPr>
        <w:t>7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</w:t>
      </w:r>
    </w:p>
    <w:p w:rsidR="008E345E" w:rsidRPr="0001791C" w:rsidRDefault="00044440" w:rsidP="00873791">
      <w:pPr>
        <w:widowControl/>
        <w:suppressAutoHyphens w:val="0"/>
        <w:autoSpaceDN/>
        <w:spacing w:after="0" w:line="48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</w:pP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    До 2002 г. считалось, что 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коронавирусы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являются больше ветер</w:t>
      </w:r>
      <w:r w:rsidR="00345885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инарными патогенами, которые не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опасны для человека, так как могут вызывать нетяжелые заболевания верхних дыхательных путей (с крайне редкими летальными исходами) (10). Однако с ноября 2002 года по июль 2003 года в Китае был выделен </w:t>
      </w:r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вирус SARS-</w:t>
      </w:r>
      <w:proofErr w:type="spellStart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Severe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acute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respiratory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syndrome-related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coronavirus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) (</w:t>
      </w:r>
      <w:proofErr w:type="spellStart"/>
      <w:r w:rsidRPr="0001791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shd w:val="clear" w:color="auto" w:fill="FFFFFF"/>
          <w:lang w:eastAsia="ru-RU"/>
        </w:rPr>
        <w:t>Betacoronavirus</w:t>
      </w:r>
      <w:proofErr w:type="spellEnd"/>
      <w:r w:rsidRPr="0001791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791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shd w:val="clear" w:color="auto" w:fill="FFFFFF"/>
          <w:lang w:eastAsia="ru-RU"/>
        </w:rPr>
        <w:t>Sarbecovirus</w:t>
      </w:r>
      <w:proofErr w:type="spellEnd"/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), который явился причиной тяжелого острого респираторного синдрома с летальностью </w:t>
      </w:r>
      <w:r w:rsidR="0098276E"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9,2% </w:t>
      </w:r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в 17 провинциях </w:t>
      </w:r>
      <w:r w:rsidR="0098276E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Кита</w:t>
      </w:r>
      <w:r w:rsidR="0098276E"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я </w:t>
      </w:r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(11)</w:t>
      </w:r>
      <w:r w:rsidR="0098276E"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.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 xml:space="preserve">      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В 2012 г. в мире появился новый 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коронавирус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MERS-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CoV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(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Middle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East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respiratory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syndrome-related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coronavirus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) – возбудитель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lastRenderedPageBreak/>
        <w:t>ближневосточного респираторного синдрома (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val="en-US" w:eastAsia="ru-RU"/>
        </w:rPr>
        <w:t>MERS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), принадлежащего к роду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Betacoronavirus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,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Merbecovirus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(5, 12), который б</w:t>
      </w:r>
      <w:r w:rsidR="000E5A71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ыл выделен из смывов носоглотки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скончавшегося от внебольничной пневмонии 60-летнего мужчины в госпитале города 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Джидда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(западная Саудовская Аравия) (12).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      Появление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val="en-US" w:eastAsia="ru-RU"/>
        </w:rPr>
        <w:t>SARS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-1 и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val="en-US" w:eastAsia="ru-RU"/>
        </w:rPr>
        <w:t>MERS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может быть подтверждением межвидовой трансмиссии, которая и является причиной появления </w:t>
      </w:r>
      <w:proofErr w:type="gram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новых</w:t>
      </w:r>
      <w:proofErr w:type="gram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коронавирусов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, более агрессивных по своим свойствам по сравнению с </w:t>
      </w:r>
      <w:r w:rsidRPr="0001791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</w:rPr>
        <w:t>HCoV-OC43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(</w:t>
      </w:r>
      <w:r w:rsidRPr="0001791C">
        <w:rPr>
          <w:rFonts w:ascii="Times New Roman" w:eastAsiaTheme="minorHAnsi" w:hAnsi="Times New Roman" w:cs="Times New Roman"/>
          <w:sz w:val="28"/>
          <w:szCs w:val="28"/>
        </w:rPr>
        <w:t>13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).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     В декабре 2019 года мир </w:t>
      </w:r>
      <w:r w:rsidR="000E5A71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провинции 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Хубэй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в город</w:t>
      </w:r>
      <w:r w:rsidR="000E5A71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е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Ухань были зарегистрированы первые случаи вирусной пневмонии</w:t>
      </w:r>
      <w:r w:rsidR="000E5A71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, вызванной вирусом </w:t>
      </w:r>
      <w:r w:rsidR="000E5A7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SARS-CoV-2 (</w:t>
      </w:r>
      <w:r w:rsidR="000E5A71" w:rsidRPr="0001791C">
        <w:rPr>
          <w:rFonts w:ascii="Times New Roman" w:hAnsi="Times New Roman" w:cs="Times New Roman"/>
          <w:sz w:val="28"/>
          <w:szCs w:val="28"/>
        </w:rPr>
        <w:t>14, 15</w:t>
      </w:r>
      <w:r w:rsidR="000E5A7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Возникло предположение, что </w:t>
      </w:r>
      <w:r w:rsidR="000E5A71"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инфицирование людей данным вирусом могло быть связано</w:t>
      </w:r>
      <w:r w:rsid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с посещением  городского </w:t>
      </w:r>
      <w:r w:rsidR="00BD6DD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рыбного </w:t>
      </w:r>
      <w:r w:rsid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рынка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и контактом с дикими животными (16). В начале января 2020 года был выделен возбудитель пневмонии,  который был идентифицирован как представитель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Coronaviridae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r w:rsidR="00844C22"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и 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назван </w:t>
      </w:r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val="en-US" w:eastAsia="ru-RU"/>
        </w:rPr>
        <w:t>n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ovel</w:t>
      </w:r>
      <w:proofErr w:type="spellEnd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i/>
          <w:kern w:val="0"/>
          <w:sz w:val="28"/>
          <w:szCs w:val="28"/>
          <w:lang w:eastAsia="ru-RU"/>
        </w:rPr>
        <w:t>coronavirus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2019 (2019-nCoV) (16), а заболевание получило название  COVID-2019 (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Coronavirus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>Disease</w:t>
      </w:r>
      <w:proofErr w:type="spellEnd"/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2019) (1).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         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 настоящее время 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уже </w:t>
      </w:r>
      <w:r w:rsidR="008859BB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известно, что </w:t>
      </w:r>
      <w:proofErr w:type="spellStart"/>
      <w:r w:rsidR="008859BB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корона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вирусы</w:t>
      </w:r>
      <w:proofErr w:type="spellEnd"/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, проникая через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слизистую верхних дыхательных путей</w:t>
      </w:r>
      <w:r w:rsidR="008859BB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реплицируются в клетках рес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нитчатого эпителия и вызывают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ринит, глоссит, кашель с возможной системной интоксикацией, </w:t>
      </w:r>
      <w:r w:rsidR="008859BB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температурой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артралгией 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и потерей обоняния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(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17,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18). </w:t>
      </w:r>
      <w:r w:rsidR="000E5A71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Преодолевая барьеры 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верхних дыхательных</w:t>
      </w:r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путей</w:t>
      </w:r>
      <w:proofErr w:type="gramEnd"/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вирус попадает в </w:t>
      </w:r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легкие и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связывается с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ангиотензинпревращающим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ферментом</w:t>
      </w:r>
      <w:r w:rsidR="008859BB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-2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(АПФ</w:t>
      </w:r>
      <w:r w:rsidR="008859BB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-2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) с помощью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рецепторсвязывающего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домена (RBD) S1 субъединицы поверхностного S (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spike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) белка, </w:t>
      </w:r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инициируя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эндоцитоз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вирионов в клетку (19,  20, 21, 22). Внутри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эндосомы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субъединица S1 отщепляется, благодаря чему белок слияния субъединицы S2 вставляется в мембрану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эндосомы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и происходит высвобождение вируса в цитоплазму клетки (23, 24). 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Из легких вирус попадает в системный кровоток – фаза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виремии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, когда вирус атакует клетки,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экспрессирующие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ангиотензинпревращающий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фермент -2: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альвеоциты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2</w:t>
      </w:r>
      <w:r w:rsidR="005B4B25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-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го типа, клетки сердца, почек,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гастроинтеснального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тракта, макрофаги (25), а также эндотелий артериальных и венозных сосудов, гладкомышечные клетки артерий (26).</w:t>
      </w: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Во время острой фазы развития заболевания происходит прямое цитотоксическое действие вируса на клетки, что вызывает </w:t>
      </w:r>
      <w:proofErr w:type="spellStart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иммуноопосредованные</w:t>
      </w:r>
      <w:proofErr w:type="spellEnd"/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и сосудистые осложнения (27).</w:t>
      </w:r>
    </w:p>
    <w:p w:rsidR="008E345E" w:rsidRPr="0001791C" w:rsidRDefault="00044440" w:rsidP="00873791">
      <w:pPr>
        <w:widowControl/>
        <w:spacing w:line="48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Arial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Важно отметить, что острая фаза</w:t>
      </w:r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характеризуе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тся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развитием пневмонии, однако при адекватном лечении и нормальном функционировании иммунной системы возможно восстановление и выздоровление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по данным различных исследований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,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в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45% 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-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93% случаев (28, 29). В группах риска (пожилой возраст, наличие сопутствующих заболеваний) иммунная система не может эффективно контролировать течение заболевания, из-за чего развиваются серьезные осложнения, угрожающие жизни пациента (4). В подобных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случаях пациенты находятся в очень тяжелом состоянии и нуждаются в интенсивной терапии (30). </w:t>
      </w:r>
    </w:p>
    <w:p w:rsidR="008E345E" w:rsidRPr="0001791C" w:rsidRDefault="00044440" w:rsidP="00873791">
      <w:pPr>
        <w:widowControl/>
        <w:suppressAutoHyphens w:val="0"/>
        <w:spacing w:line="480" w:lineRule="auto"/>
        <w:ind w:firstLine="851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 настоящее время нет эффективных 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этиологических 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методов лечения больных </w:t>
      </w:r>
      <w:r w:rsidRPr="0001791C">
        <w:rPr>
          <w:rFonts w:ascii="Times New Roman" w:hAnsi="Times New Roman" w:cs="Times New Roman"/>
          <w:kern w:val="0"/>
          <w:sz w:val="28"/>
          <w:szCs w:val="28"/>
          <w:lang w:val="en-US" w:eastAsia="ru-RU"/>
        </w:rPr>
        <w:t>COVID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-19. Проведен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ные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исследовани</w:t>
      </w:r>
      <w:r w:rsidR="008A63B7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я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по изучению </w:t>
      </w:r>
      <w:r w:rsidR="003A2E2C"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>эффективности</w:t>
      </w:r>
      <w:r w:rsidRPr="0001791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применения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>ремдесивира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>фавипиравира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умифеновира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 показали значимых различий в группах </w:t>
      </w:r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сравнения</w:t>
      </w:r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числу выздоровевших </w:t>
      </w:r>
      <w:r w:rsidR="003A2E2C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снижению летальных исходов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(31, 32, 33).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Согласно представленным данным, можно говорить только </w:t>
      </w:r>
      <w:r w:rsidR="008A63B7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незначительной эффективности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гидроксихлорохин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сульфата в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сочетании с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>азитромицином</w:t>
      </w:r>
      <w:proofErr w:type="spellEnd"/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 а также о некоторой эффективности </w:t>
      </w:r>
      <w:proofErr w:type="spellStart"/>
      <w:r w:rsidR="00FC5C27" w:rsidRPr="0001791C">
        <w:rPr>
          <w:rFonts w:ascii="Times New Roman" w:hAnsi="Times New Roman" w:cs="Times New Roman"/>
          <w:sz w:val="28"/>
          <w:szCs w:val="28"/>
        </w:rPr>
        <w:t>лопинавира</w:t>
      </w:r>
      <w:proofErr w:type="spellEnd"/>
      <w:r w:rsidR="00FC5C27" w:rsidRPr="0001791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FC5C27" w:rsidRPr="0001791C">
        <w:rPr>
          <w:rFonts w:ascii="Times New Roman" w:hAnsi="Times New Roman" w:cs="Times New Roman"/>
          <w:sz w:val="28"/>
          <w:szCs w:val="28"/>
        </w:rPr>
        <w:t>ритонавир</w:t>
      </w:r>
      <w:r w:rsidR="008A63B7" w:rsidRPr="0001791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(34). </w:t>
      </w:r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>Н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>еобходимость получения даже незначительной клинической эффективности требует применения всех возможных средств</w:t>
      </w:r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что позволило включить </w:t>
      </w:r>
      <w:r w:rsidR="008A63B7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анные препараты </w:t>
      </w:r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>в рекомендации по лечению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больных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COVID</w:t>
      </w:r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-19 (35).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>Однако необходимо учитывать, что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каждый из препаратов может вызывать свои нежелательные явления, которые будут требовать отмены терапии и назначения </w:t>
      </w:r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дополнительной </w:t>
      </w:r>
      <w:proofErr w:type="spellStart"/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>коррегирующей</w:t>
      </w:r>
      <w:proofErr w:type="spellEnd"/>
      <w:r w:rsidR="003A2E2C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терапии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</w:p>
    <w:p w:rsidR="008E345E" w:rsidRPr="0001791C" w:rsidRDefault="003A2E2C" w:rsidP="00873791">
      <w:pPr>
        <w:widowControl/>
        <w:suppressAutoHyphens w:val="0"/>
        <w:autoSpaceDN/>
        <w:spacing w:after="0" w:line="48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Согласно проведенным исследованиям, причиной возникновения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нежелательны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х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явлени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й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является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не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только непосредственное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воздействие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лекарственного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препарата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, но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ряд сопутствующих факторов, таких как возраст, пол,  сопутствующие заболевания</w:t>
      </w:r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,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индивидуальная чувствительность организма к лекарственному веществу </w:t>
      </w:r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и непосредственное воздействие самого инфекционного агента на </w:t>
      </w:r>
      <w:proofErr w:type="spellStart"/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гепатоциты</w:t>
      </w:r>
      <w:proofErr w:type="spellEnd"/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(36).  </w:t>
      </w:r>
    </w:p>
    <w:p w:rsidR="008E345E" w:rsidRPr="0001791C" w:rsidRDefault="003A2E2C" w:rsidP="00873791">
      <w:pPr>
        <w:widowControl/>
        <w:suppressAutoHyphens w:val="0"/>
        <w:autoSpaceDN/>
        <w:spacing w:after="0" w:line="48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lastRenderedPageBreak/>
        <w:t>В настоящее время отмечено</w:t>
      </w:r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 что ф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ункциональная активность печени может нарушаться под влиянием неп</w:t>
      </w:r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осредственно вируса SARS-CoV-2 </w:t>
      </w:r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(38, 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39).  В литературе отмечается, что повышение уровня </w:t>
      </w:r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печеночных проб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 </w:t>
      </w:r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имеет место</w:t>
      </w:r>
      <w:r w:rsidR="00416772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="003D1479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у 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половин</w:t>
      </w:r>
      <w:r w:rsidR="003D1479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ы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больных  COVID-19 (30, 31). Результаты гистологического исследования </w:t>
      </w:r>
      <w:proofErr w:type="spellStart"/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биоптатов</w:t>
      </w:r>
      <w:proofErr w:type="spellEnd"/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печени на фоне новой </w:t>
      </w:r>
      <w:proofErr w:type="spellStart"/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коронавирусной</w:t>
      </w:r>
      <w:proofErr w:type="spellEnd"/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инфекции  выявило развитие мелкокапельной жировой инфильтрации и слабо выраженной воспалительной реакции в дольках печени (41).  </w:t>
      </w:r>
    </w:p>
    <w:p w:rsidR="008E345E" w:rsidRPr="0001791C" w:rsidRDefault="00416772" w:rsidP="00873791">
      <w:pPr>
        <w:widowControl/>
        <w:suppressAutoHyphens w:val="0"/>
        <w:autoSpaceDN/>
        <w:spacing w:after="0" w:line="48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Учитывая необходимость применения комплексной терапии 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при лечении больных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</w:rPr>
        <w:t>COVID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-19 и непосредственное влияние вируса на клетки печени, вероятность развития развитие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гепатотоксических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нежелательных достаточна велика. Развитие данных явлений </w:t>
      </w:r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требует назначени</w:t>
      </w:r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я </w:t>
      </w:r>
      <w:proofErr w:type="spellStart"/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гепатопротективных</w:t>
      </w:r>
      <w:proofErr w:type="spellEnd"/>
      <w:r w:rsidR="00FC5C27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препаратов, которые </w:t>
      </w:r>
      <w:r w:rsidR="00FC5C27" w:rsidRPr="0001791C">
        <w:rPr>
          <w:rFonts w:ascii="Times New Roman" w:hAnsi="Times New Roman" w:cs="Times New Roman"/>
          <w:sz w:val="28"/>
          <w:szCs w:val="28"/>
        </w:rPr>
        <w:t>повышают резистентность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 печени к повреждающему действию различных патоге</w:t>
      </w:r>
      <w:r w:rsidR="00FC5C27" w:rsidRPr="0001791C">
        <w:rPr>
          <w:rFonts w:ascii="Times New Roman" w:hAnsi="Times New Roman" w:cs="Times New Roman"/>
          <w:sz w:val="28"/>
          <w:szCs w:val="28"/>
        </w:rPr>
        <w:t>нов и способствуют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 восстановлению функциональной активности </w:t>
      </w:r>
      <w:proofErr w:type="spellStart"/>
      <w:r w:rsidR="00044440" w:rsidRPr="0001791C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="00044440" w:rsidRPr="0001791C">
        <w:rPr>
          <w:rFonts w:ascii="Times New Roman" w:hAnsi="Times New Roman" w:cs="Times New Roman"/>
          <w:sz w:val="28"/>
          <w:szCs w:val="28"/>
        </w:rPr>
        <w:t xml:space="preserve"> (37). </w:t>
      </w:r>
      <w:proofErr w:type="gramStart"/>
      <w:r w:rsidRPr="0001791C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 и выбор </w:t>
      </w:r>
      <w:proofErr w:type="spellStart"/>
      <w:r w:rsidR="00044440" w:rsidRPr="0001791C">
        <w:rPr>
          <w:rFonts w:ascii="Times New Roman" w:hAnsi="Times New Roman" w:cs="Times New Roman"/>
          <w:sz w:val="28"/>
          <w:szCs w:val="28"/>
        </w:rPr>
        <w:t>гепатопротективных</w:t>
      </w:r>
      <w:proofErr w:type="spellEnd"/>
      <w:r w:rsidR="00044440" w:rsidRPr="0001791C">
        <w:rPr>
          <w:rFonts w:ascii="Times New Roman" w:hAnsi="Times New Roman" w:cs="Times New Roman"/>
          <w:sz w:val="28"/>
          <w:szCs w:val="28"/>
        </w:rPr>
        <w:t xml:space="preserve"> препаратов </w:t>
      </w:r>
      <w:r w:rsidRPr="0001791C">
        <w:rPr>
          <w:rFonts w:ascii="Times New Roman" w:hAnsi="Times New Roman" w:cs="Times New Roman"/>
          <w:sz w:val="28"/>
          <w:szCs w:val="28"/>
        </w:rPr>
        <w:t>зависит от изменения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 </w:t>
      </w:r>
      <w:r w:rsidRPr="0001791C">
        <w:rPr>
          <w:rFonts w:ascii="Times New Roman" w:hAnsi="Times New Roman" w:cs="Times New Roman"/>
          <w:sz w:val="28"/>
          <w:szCs w:val="28"/>
        </w:rPr>
        <w:t xml:space="preserve">функциональных </w:t>
      </w:r>
      <w:r w:rsidR="00F40F45" w:rsidRPr="0001791C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01791C">
        <w:rPr>
          <w:rFonts w:ascii="Times New Roman" w:hAnsi="Times New Roman" w:cs="Times New Roman"/>
          <w:sz w:val="28"/>
          <w:szCs w:val="28"/>
        </w:rPr>
        <w:t xml:space="preserve">печени и 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F40F45" w:rsidRPr="0001791C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FC5C27" w:rsidRPr="0001791C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="00FC5C27" w:rsidRPr="0001791C">
        <w:rPr>
          <w:rFonts w:ascii="Times New Roman" w:hAnsi="Times New Roman" w:cs="Times New Roman"/>
          <w:sz w:val="28"/>
          <w:szCs w:val="28"/>
        </w:rPr>
        <w:t xml:space="preserve"> (</w:t>
      </w:r>
      <w:r w:rsidR="00044440" w:rsidRPr="0001791C">
        <w:rPr>
          <w:rFonts w:ascii="Times New Roman" w:hAnsi="Times New Roman" w:cs="Times New Roman"/>
          <w:sz w:val="28"/>
          <w:szCs w:val="28"/>
        </w:rPr>
        <w:t>АЛТ</w:t>
      </w:r>
      <w:r w:rsidR="00FC5C27" w:rsidRPr="0001791C">
        <w:rPr>
          <w:rFonts w:ascii="Times New Roman" w:hAnsi="Times New Roman" w:cs="Times New Roman"/>
          <w:sz w:val="28"/>
          <w:szCs w:val="28"/>
        </w:rPr>
        <w:t>)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5C27" w:rsidRPr="0001791C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="00FC5C27" w:rsidRPr="0001791C">
        <w:rPr>
          <w:rFonts w:ascii="Times New Roman" w:hAnsi="Times New Roman" w:cs="Times New Roman"/>
          <w:sz w:val="28"/>
          <w:szCs w:val="28"/>
        </w:rPr>
        <w:t xml:space="preserve"> (</w:t>
      </w:r>
      <w:r w:rsidR="00044440" w:rsidRPr="0001791C">
        <w:rPr>
          <w:rFonts w:ascii="Times New Roman" w:hAnsi="Times New Roman" w:cs="Times New Roman"/>
          <w:sz w:val="28"/>
          <w:szCs w:val="28"/>
        </w:rPr>
        <w:t>АСТ</w:t>
      </w:r>
      <w:r w:rsidR="00FC5C27" w:rsidRPr="0001791C">
        <w:rPr>
          <w:rFonts w:ascii="Times New Roman" w:hAnsi="Times New Roman" w:cs="Times New Roman"/>
          <w:sz w:val="28"/>
          <w:szCs w:val="28"/>
        </w:rPr>
        <w:t>)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, щелочной фосфатазы и </w:t>
      </w:r>
      <w:r w:rsidR="00FC5C27" w:rsidRPr="0001791C">
        <w:rPr>
          <w:rFonts w:ascii="Times New Roman" w:hAnsi="Times New Roman" w:cs="Times New Roman"/>
          <w:sz w:val="28"/>
          <w:szCs w:val="28"/>
        </w:rPr>
        <w:t xml:space="preserve">фракции </w:t>
      </w:r>
      <w:r w:rsidR="00044440" w:rsidRPr="0001791C">
        <w:rPr>
          <w:rFonts w:ascii="Times New Roman" w:hAnsi="Times New Roman" w:cs="Times New Roman"/>
          <w:sz w:val="28"/>
          <w:szCs w:val="28"/>
        </w:rPr>
        <w:t>билирубина) (42</w:t>
      </w:r>
      <w:r w:rsidR="000D230F" w:rsidRPr="0001791C">
        <w:rPr>
          <w:rFonts w:ascii="Times New Roman" w:hAnsi="Times New Roman" w:cs="Times New Roman"/>
          <w:sz w:val="28"/>
          <w:szCs w:val="28"/>
        </w:rPr>
        <w:t>, 43</w:t>
      </w:r>
      <w:r w:rsidR="00044440" w:rsidRPr="0001791C">
        <w:rPr>
          <w:rFonts w:ascii="Times New Roman" w:hAnsi="Times New Roman" w:cs="Times New Roman"/>
          <w:sz w:val="28"/>
          <w:szCs w:val="28"/>
        </w:rPr>
        <w:t xml:space="preserve">).    </w:t>
      </w:r>
      <w:proofErr w:type="gramEnd"/>
    </w:p>
    <w:p w:rsidR="008E345E" w:rsidRPr="0001791C" w:rsidRDefault="00044440" w:rsidP="00873791">
      <w:pPr>
        <w:widowControl/>
        <w:suppressAutoHyphens w:val="0"/>
        <w:autoSpaceDE w:val="0"/>
        <w:adjustRightInd w:val="0"/>
        <w:spacing w:after="0" w:line="48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D230F" w:rsidRPr="0001791C">
        <w:rPr>
          <w:rFonts w:ascii="Times New Roman" w:hAnsi="Times New Roman" w:cs="Times New Roman"/>
          <w:sz w:val="28"/>
          <w:szCs w:val="28"/>
        </w:rPr>
        <w:t>проведенным исследованиям</w:t>
      </w:r>
      <w:r w:rsidR="003F06DF" w:rsidRPr="0001791C">
        <w:rPr>
          <w:rFonts w:ascii="Times New Roman" w:hAnsi="Times New Roman" w:cs="Times New Roman"/>
          <w:sz w:val="28"/>
          <w:szCs w:val="28"/>
        </w:rPr>
        <w:t>,</w:t>
      </w:r>
      <w:r w:rsidRPr="00017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инозин+меглюмин+метионин+никотинамид+янтарная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кислота</w:t>
      </w:r>
      <w:r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eastAsia="ru-RU"/>
        </w:rPr>
        <w:t>реамберин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оказывают положительное влияние на показатели липидного обмена: </w:t>
      </w:r>
      <w:r w:rsidR="003F06DF" w:rsidRPr="0001791C">
        <w:rPr>
          <w:rFonts w:ascii="Times New Roman" w:hAnsi="Times New Roman" w:cs="Times New Roman"/>
          <w:sz w:val="28"/>
          <w:szCs w:val="28"/>
          <w:lang w:eastAsia="ru-RU"/>
        </w:rPr>
        <w:t>в 1,9–</w:t>
      </w:r>
      <w:r w:rsidR="003F06DF" w:rsidRPr="000179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1,4 раза уменьшается </w:t>
      </w:r>
      <w:r w:rsidRPr="0001791C">
        <w:rPr>
          <w:rFonts w:ascii="Times New Roman" w:hAnsi="Times New Roman" w:cs="Times New Roman"/>
          <w:sz w:val="28"/>
          <w:szCs w:val="28"/>
          <w:lang w:eastAsia="ru-RU"/>
        </w:rPr>
        <w:t>уровень триглицеридов, а также  ферментные маркеры повреждения печени, способствуя нормализации а</w:t>
      </w:r>
      <w:r w:rsidR="00665CD1"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ктивности </w:t>
      </w:r>
      <w:proofErr w:type="spellStart"/>
      <w:r w:rsidR="00665CD1" w:rsidRPr="0001791C">
        <w:rPr>
          <w:rFonts w:ascii="Times New Roman" w:hAnsi="Times New Roman" w:cs="Times New Roman"/>
          <w:sz w:val="28"/>
          <w:szCs w:val="28"/>
          <w:lang w:eastAsia="ru-RU"/>
        </w:rPr>
        <w:t>АлАТ</w:t>
      </w:r>
      <w:proofErr w:type="spellEnd"/>
      <w:r w:rsidR="00665CD1"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65CD1" w:rsidRPr="0001791C">
        <w:rPr>
          <w:rFonts w:ascii="Times New Roman" w:hAnsi="Times New Roman" w:cs="Times New Roman"/>
          <w:sz w:val="28"/>
          <w:szCs w:val="28"/>
          <w:lang w:eastAsia="ru-RU"/>
        </w:rPr>
        <w:t>АсАТ</w:t>
      </w:r>
      <w:proofErr w:type="spellEnd"/>
      <w:r w:rsidR="00665CD1"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 (45, </w:t>
      </w:r>
      <w:r w:rsidRPr="0001791C">
        <w:rPr>
          <w:rFonts w:ascii="Times New Roman" w:hAnsi="Times New Roman" w:cs="Times New Roman"/>
          <w:sz w:val="28"/>
          <w:szCs w:val="28"/>
          <w:lang w:eastAsia="ru-RU"/>
        </w:rPr>
        <w:t xml:space="preserve">46). </w:t>
      </w:r>
    </w:p>
    <w:p w:rsidR="008E345E" w:rsidRPr="0001791C" w:rsidRDefault="00044440" w:rsidP="00873791">
      <w:pPr>
        <w:autoSpaceDE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</w:rPr>
        <w:t>В пре</w:t>
      </w:r>
      <w:r w:rsidR="004A1C1F" w:rsidRPr="0001791C">
        <w:rPr>
          <w:rFonts w:ascii="Times New Roman" w:hAnsi="Times New Roman" w:cs="Times New Roman"/>
          <w:sz w:val="28"/>
          <w:szCs w:val="28"/>
        </w:rPr>
        <w:t>дставленном клиническом примере</w:t>
      </w:r>
      <w:r w:rsidRPr="0001791C">
        <w:rPr>
          <w:rFonts w:ascii="Times New Roman" w:hAnsi="Times New Roman" w:cs="Times New Roman"/>
          <w:sz w:val="28"/>
          <w:szCs w:val="28"/>
        </w:rPr>
        <w:t xml:space="preserve"> продемонстрирована возможность нормализации показателей печени у больного 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1791C">
        <w:rPr>
          <w:rFonts w:ascii="Times New Roman" w:hAnsi="Times New Roman" w:cs="Times New Roman"/>
          <w:sz w:val="28"/>
          <w:szCs w:val="28"/>
        </w:rPr>
        <w:t xml:space="preserve">-19 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1791C">
        <w:rPr>
          <w:rFonts w:ascii="Times New Roman" w:hAnsi="Times New Roman" w:cs="Times New Roman"/>
          <w:sz w:val="28"/>
          <w:szCs w:val="28"/>
        </w:rPr>
        <w:t xml:space="preserve"> применением раствора 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инозин+меглюмин+метионин+никотинамид+янтарная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кислоты.</w:t>
      </w:r>
    </w:p>
    <w:p w:rsidR="008E345E" w:rsidRPr="0001791C" w:rsidRDefault="00044440" w:rsidP="00873791">
      <w:pPr>
        <w:widowControl/>
        <w:suppressAutoHyphens w:val="0"/>
        <w:autoSpaceDN/>
        <w:spacing w:after="0" w:line="48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Calibri" w:hAnsi="Times New Roman" w:cs="Times New Roman"/>
          <w:b/>
          <w:kern w:val="0"/>
          <w:sz w:val="28"/>
          <w:szCs w:val="28"/>
        </w:rPr>
        <w:t>Клинический пример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:rsidR="008E345E" w:rsidRPr="0001791C" w:rsidRDefault="00044440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Пациент М. (61 год) поступил в отделение реанимации и интенсивной терапии с диагнозом «Вирусная пневмония, вызванная вирусом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SARS-CoV-2»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DD1" w:rsidRPr="0001791C" w:rsidRDefault="00044440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Из анамнеза известно, что заболел остро с появлением слабости, одышки, подъёма температуры до 38 градусов.  На фоне симптоматической терапии  отмечалось ухудшение состояния, которое потребовало госпитализации в стационар. К врачу на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догоспитальном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не</w:t>
      </w:r>
      <w:r w:rsidR="00FC5C27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обращался.  До настоящего времени болел редко, а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лл</w:t>
      </w:r>
      <w:r w:rsidR="00FC5C27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ергический анамнез не отягощен.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C27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C5C27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оценке тяжести пациента по шкале </w:t>
      </w:r>
      <w:r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NEWSZ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Institute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Health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Stroke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Scale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баллов. </w:t>
      </w:r>
    </w:p>
    <w:p w:rsidR="00F80DD1" w:rsidRPr="0001791C" w:rsidRDefault="00F80DD1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1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Клинический статус пациента.</w:t>
      </w:r>
    </w:p>
    <w:p w:rsidR="00F80DD1" w:rsidRPr="0001791C" w:rsidRDefault="00F80DD1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тяжёлое. Тяжесть состояния обусловлен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недостаточностью 3 степени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фоне течения внебольничной двустор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онней пневмонии, которая обусл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овлена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эндогенной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интоксикации.  Сознание ясное, по шкале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Глазго 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15 баллов. Кожа и сли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зистые покровы обычной окраски и влажности, без патологических высыпаний.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Цианоза нет. </w:t>
      </w:r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емпература </w:t>
      </w:r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тела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38,3 </w:t>
      </w:r>
      <w:r w:rsidR="00044440"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°C. </w:t>
      </w:r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Периферические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лимфо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уз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 не увеличены. Пастозность нижних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конечностей голени с двух сторон. АД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160/70 мм</w:t>
      </w:r>
      <w:proofErr w:type="gram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т. ст.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сердечных сокращений (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- 155 ударов в минуту,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дыхания (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ЧДД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- 33-35 в минуту.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акте дыхания участвует дополнительная дыхательная мускулатура.  </w:t>
      </w:r>
      <w:proofErr w:type="spellStart"/>
      <w:proofErr w:type="gram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88% на фоне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инсуфляции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6-8 л/мин через назальные канюли.</w:t>
      </w:r>
      <w:proofErr w:type="gram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Дыхание с двух сторон ж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ёсткое,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крепитирующие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хрипы в нижних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отделах с двух сторон. Живот мягкий, безболезненный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пальпации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Физиологические отправления в норме.  </w:t>
      </w:r>
    </w:p>
    <w:p w:rsidR="008E345E" w:rsidRPr="0001791C" w:rsidRDefault="00F80DD1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После осмотра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 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показаниям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переведён в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реанимационной терапии. В течение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минут после госпитализации пациента в стационар отмеча</w:t>
      </w:r>
      <w:r w:rsidR="003F06D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нарастани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дыхательной недостаточности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десатурация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53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нарушения уровня сознания (сопор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потребовало перевода пациента на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искусственную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вентиляцию лёгких (ИО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150). </w:t>
      </w:r>
    </w:p>
    <w:p w:rsidR="00F80DD1" w:rsidRPr="0001791C" w:rsidRDefault="00F80DD1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Результаты обследования. </w:t>
      </w:r>
    </w:p>
    <w:p w:rsidR="008E345E" w:rsidRPr="0001791C" w:rsidRDefault="00F80DD1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молекулярно-генетического исследования методом ПЦР в мазке слизистой оболочки носоглотки и ротоглотки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выделена ДНК  вируса </w:t>
      </w:r>
      <w:r w:rsidR="00044440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SARS-CoV-2.</w:t>
      </w:r>
    </w:p>
    <w:p w:rsidR="008E345E" w:rsidRPr="0001791C" w:rsidRDefault="00044440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0DD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лабораторных исследований при поступлении в стационар в клиническом анализе крови отмечался незначительный лейкоцитоз (11,3 на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Pr="000179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/л),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нейтрофилов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(абсолютн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- 9,93 на 10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/л и относительных - 78,9 %)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фоцитопения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14 % и 1,77 на  10</w:t>
      </w:r>
      <w:r w:rsidRPr="000179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/л,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моноцитоз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(0,83 на 10</w:t>
      </w:r>
      <w:r w:rsidRPr="000179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/л), снижение уровня тромбоцитов (137 на 10</w:t>
      </w:r>
      <w:r w:rsidRPr="000179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/л).</w:t>
      </w:r>
    </w:p>
    <w:p w:rsidR="008E345E" w:rsidRPr="0001791C" w:rsidRDefault="00044440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Согласно результатам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биохимического анализа крови отмечался рост общего билирубина до 31,4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мкмоль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/л, С-реактивный белок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295 мг/л, </w:t>
      </w:r>
      <w:proofErr w:type="spellStart"/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актатдегидрогеназа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1055</w:t>
      </w:r>
      <w:proofErr w:type="gram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/л,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ферритин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2000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нг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/мл, Д-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димер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8,02 мг/мл, </w:t>
      </w:r>
      <w:proofErr w:type="spellStart"/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рокальцитонин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1,03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нг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/мл,  остальные биохимически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показатели </w:t>
      </w:r>
      <w:r w:rsidR="00C90E09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88621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нормы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8E345E" w:rsidRPr="0001791C" w:rsidRDefault="00886210" w:rsidP="00B66C6A">
      <w:pPr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лучевого обследования органов грудной клетки отмеча</w:t>
      </w:r>
      <w:r w:rsidR="00C90E09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изменения в легких с явлениями вирусной пневмонии с поражением трет</w:t>
      </w:r>
      <w:r w:rsidR="00C90E09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степени. </w:t>
      </w:r>
      <w:r w:rsidR="002A40E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– картина </w:t>
      </w:r>
      <w:r w:rsidR="002A40E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соответствовала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двусторонней специфической вирусной пневмонии </w:t>
      </w:r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степени.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поражения лёгочной ткани </w:t>
      </w:r>
      <w:r w:rsidR="00044440"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>≈</w:t>
      </w:r>
      <w:r w:rsidR="002A40EB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65-70 %. КТ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признаки двусто</w:t>
      </w:r>
      <w:r w:rsidR="004A5816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роннего гидроторакса, легочно-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венозного застоя</w:t>
      </w:r>
      <w:r w:rsidR="00B66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1)</w:t>
      </w:r>
      <w:bookmarkStart w:id="0" w:name="_GoBack"/>
      <w:bookmarkEnd w:id="0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45E" w:rsidRPr="0001791C" w:rsidRDefault="004A5816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r w:rsidR="00EA1BBC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клинической картине, а так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 результатам лабораторного и инструментального обследования пациента, </w:t>
      </w:r>
      <w:r w:rsidR="00EA1BBC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назначена этиотропная терапия (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лопинав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proofErr w:type="spellEnd"/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ритонавир</w:t>
      </w:r>
      <w:proofErr w:type="spellEnd"/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400+100 мг * 2 раза в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дней) +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нтерферон 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β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8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(через сутки, 7 инъекций на курс)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Применялась также патогенетическая терапия (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ксаметазон</w:t>
      </w:r>
      <w:proofErr w:type="spellEnd"/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схеме 8 мг * 4 раз в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последующей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деэскалацией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дозировки),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антипиретическая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 (парацетамол, при температуре больше 38,0 </w:t>
      </w:r>
      <w:r w:rsidR="00044440"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>°C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дезинтоксикационная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 (сбалансированные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лоидные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растворы, обеспечивающие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водно-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электролитную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нагрузку), антибиотикотерапи</w:t>
      </w:r>
      <w:r w:rsidR="00EA1BBC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(защищённые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аминопенициллины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дальнейшей сменой препарата по результатам бактериологических посевов), комплексная терапия бронхита (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мукоактивные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бронхолитические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средства), профилактика 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венозных тромбоэмболических осложнений (</w:t>
      </w:r>
      <w:r w:rsidR="004F3FC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низкомолекулярный гепарин</w:t>
      </w:r>
      <w:r w:rsidR="00FE26D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респираторная терапия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медикаментозная</w:t>
      </w:r>
      <w:proofErr w:type="gram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седация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натриевая соль </w:t>
      </w:r>
      <w:proofErr w:type="gramStart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γ-</w:t>
      </w:r>
      <w:proofErr w:type="gramEnd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оксимасляной кислоты</w:t>
      </w:r>
      <w:r w:rsidR="004A1C1F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нейромышечная блокада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пипекурония</w:t>
      </w:r>
      <w:proofErr w:type="spellEnd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бромид -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мг/час),  витаминотерапия (</w:t>
      </w:r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аскорбиновая кислота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тиамин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гастропротекция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омепразол</w:t>
      </w:r>
      <w:proofErr w:type="spellEnd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40 мг*</w:t>
      </w:r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1 р/</w:t>
      </w:r>
      <w:proofErr w:type="spellStart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энтеральное</w:t>
      </w:r>
      <w:proofErr w:type="spellEnd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(</w:t>
      </w:r>
      <w:proofErr w:type="spellStart"/>
      <w:r w:rsidR="00C9219D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утрикомп</w:t>
      </w:r>
      <w:proofErr w:type="spellEnd"/>
      <w:r w:rsidR="00044440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30 ккал/кг).</w:t>
      </w:r>
    </w:p>
    <w:p w:rsidR="008E345E" w:rsidRPr="0001791C" w:rsidRDefault="00044440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фоне терапии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лопинавиром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ритонавир</w:t>
      </w:r>
      <w:r w:rsidR="00CB249A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отмечалось значительное </w:t>
      </w:r>
      <w:r w:rsidR="00CB249A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 показателей печени (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аланинаминотрансфераза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(АЛТ) - 661</w:t>
      </w:r>
      <w:proofErr w:type="gram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/л;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аспартатаминотрансфераза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(АСТ) - 841 Е/л; альфа-амилаза - 337 Е/л) при нормальных показател</w:t>
      </w:r>
      <w:r w:rsidR="00CB249A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билирубина - 20,3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мкмоль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/л. 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345E" w:rsidRPr="0001791C" w:rsidRDefault="00044440" w:rsidP="00873791">
      <w:pPr>
        <w:widowControl/>
        <w:suppressAutoHyphens w:val="0"/>
        <w:autoSpaceDN/>
        <w:spacing w:after="0" w:line="480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Развитие печеночной недостаточности послужило поводом для назначения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инозин+меглюмин+метионин+ни</w:t>
      </w:r>
      <w:r w:rsidR="00B94731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котинамид+янтарная</w:t>
      </w:r>
      <w:proofErr w:type="spellEnd"/>
      <w:r w:rsidR="00B94731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кислота по 400 мл  один раз в  день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="00B94731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в течение семи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</w:t>
      </w:r>
      <w:r w:rsidR="00B94731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дней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.</w:t>
      </w:r>
    </w:p>
    <w:p w:rsidR="008E345E" w:rsidRPr="0001791C" w:rsidRDefault="00044440" w:rsidP="0087379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фоне </w:t>
      </w:r>
      <w:proofErr w:type="spell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гепатопротективной</w:t>
      </w:r>
      <w:proofErr w:type="spell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через два дня АЛТ снизилась до  453</w:t>
      </w:r>
      <w:proofErr w:type="gramStart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/л и АСТ до 271 Е/л,  альфа-амилаза </w:t>
      </w:r>
      <w:r w:rsidR="0064093C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53 Е/л.</w:t>
      </w:r>
    </w:p>
    <w:p w:rsidR="008E345E" w:rsidRPr="0001791C" w:rsidRDefault="00044440" w:rsidP="00873791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Одновременно отмечалось снижение показателей крови (лейкоциты -7,95 на</w:t>
      </w: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</w:t>
      </w:r>
      <w:r w:rsidRPr="0001791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</w:t>
      </w:r>
      <w:r w:rsidR="00B94731"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>/л; лимфоциты – 5,4%).</w:t>
      </w:r>
    </w:p>
    <w:p w:rsidR="008E345E" w:rsidRPr="0001791C" w:rsidRDefault="00044440" w:rsidP="00873791">
      <w:pPr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Через семь дней применения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инозин+меглюмин+метионин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+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lastRenderedPageBreak/>
        <w:t>никотинамид+янтарной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кислоты в виде в/в </w:t>
      </w:r>
      <w:proofErr w:type="spellStart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инфузии</w:t>
      </w:r>
      <w:proofErr w:type="spellEnd"/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печеночные показатели снизились до нормальных значений, что позволило продолжить</w:t>
      </w:r>
      <w:r w:rsidR="0064093C"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лечение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пациента в условиях отделения с назначением симптоматической терапии.</w:t>
      </w:r>
    </w:p>
    <w:p w:rsidR="008E345E" w:rsidRPr="0001791C" w:rsidRDefault="0049290B" w:rsidP="00873791">
      <w:pPr>
        <w:widowControl/>
        <w:suppressAutoHyphens w:val="0"/>
        <w:autoSpaceDN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01791C">
        <w:rPr>
          <w:rFonts w:ascii="Times New Roman" w:eastAsia="Calibri" w:hAnsi="Times New Roman" w:cs="Times New Roman"/>
          <w:b/>
          <w:kern w:val="0"/>
          <w:sz w:val="28"/>
          <w:szCs w:val="28"/>
        </w:rPr>
        <w:t>Обсуждение</w:t>
      </w:r>
    </w:p>
    <w:p w:rsidR="00BE7B9D" w:rsidRPr="0001791C" w:rsidRDefault="00BE7B9D" w:rsidP="00873791">
      <w:pPr>
        <w:widowControl/>
        <w:suppressAutoHyphens w:val="0"/>
        <w:autoSpaceDN/>
        <w:spacing w:after="0" w:line="48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Повреждение печени может быть вызвано прямым воздействием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SARS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-2, последствиями системных нарушений, таких как септический шок,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полиорганная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дисфункция,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цитокиновый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шторм, а также быть последствием токсичности, связанной с </w:t>
      </w:r>
      <w:r w:rsidR="005635F0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применением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лекарственны</w:t>
      </w:r>
      <w:r w:rsidR="005635F0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препарат</w:t>
      </w:r>
      <w:r w:rsidR="005635F0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47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BE7B9D" w:rsidRPr="0001791C" w:rsidRDefault="00BE7B9D" w:rsidP="00873791">
      <w:pPr>
        <w:widowControl/>
        <w:suppressAutoHyphens w:val="0"/>
        <w:autoSpaceDN/>
        <w:spacing w:after="0" w:line="48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данный момент патогенез прямого поражения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гепатоцитов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вирусом изучается. </w:t>
      </w:r>
      <w:r w:rsidR="00853F57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Однако и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звестно, что при инфекции</w:t>
      </w:r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вызванной вирусом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SARS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MERS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повреждение печени встречалось в 66% </w:t>
      </w:r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случаев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</w:t>
      </w:r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48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При гистологических исследованиях обнаруживались вирусные частицы в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гепатоцитах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49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), а также поражение ткани, характерное для вирусной инфекции: большое количество митотических клеток печени, баллонная дегенерация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гепатоцитов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умеренная инфильтрация лимфоцитов,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стеатоз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некроз центральных долей, сопровождающийся явным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апоптозом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8228EB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50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Исследования </w:t>
      </w:r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  <w:t>in</w:t>
      </w:r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  <w:t>vitro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показали, что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SARS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-специфический белок 7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a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может вызывать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апоптоз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клеток в различных органах (включая легкие, почки и печень) через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каспазо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-зависимый путь, дополнительно подтверждая возможность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SARS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непосредственно атаковать ткани печени и вызывать </w:t>
      </w:r>
      <w:r w:rsidR="005635F0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её </w:t>
      </w:r>
      <w:r w:rsidR="004A1C1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повреждение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51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BE7B9D" w:rsidRPr="0001791C" w:rsidRDefault="00BE7B9D" w:rsidP="00873791">
      <w:pPr>
        <w:widowControl/>
        <w:suppressAutoHyphens w:val="0"/>
        <w:autoSpaceDN/>
        <w:spacing w:after="0" w:line="48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Для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SARS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-19 были обнаружены схож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 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признаки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поражени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гепатоцитов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Гистологические исследования у пациентов с COVID-19 обнаружили </w:t>
      </w:r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умеренный</w:t>
      </w:r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микрососудистый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стеатоз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умеренную лобулярную и портальную активность, </w:t>
      </w:r>
      <w:r w:rsidR="00D023E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указывающие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то, что повреждение печени может быть вызвано либо инфекцией SARS-CoV-2, либо повреждением печени, вызванным </w:t>
      </w:r>
      <w:r w:rsidR="00D023E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применением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лекарственны</w:t>
      </w:r>
      <w:r w:rsidR="00D023E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препарат</w:t>
      </w:r>
      <w:r w:rsidR="00D023E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52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 Одним из возможных показателей прямого воздействия вируса на печень являются следы вируса в стуле, что может свидетельствовать и его трансмиссии через портальное кровообращение между кишечником и печенью.</w:t>
      </w:r>
    </w:p>
    <w:p w:rsidR="00BE7B9D" w:rsidRPr="0001791C" w:rsidRDefault="00D023ED" w:rsidP="00873791">
      <w:pPr>
        <w:widowControl/>
        <w:suppressAutoHyphens w:val="0"/>
        <w:autoSpaceDN/>
        <w:spacing w:after="0" w:line="48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Остается не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ясным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механизм повреждения </w:t>
      </w:r>
      <w:proofErr w:type="spellStart"/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proofErr w:type="spellEnd"/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Считается, что экспрессия рецептора </w:t>
      </w:r>
      <w:proofErr w:type="spellStart"/>
      <w:r w:rsidR="00853F57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нгиотензинпревращающего</w:t>
      </w:r>
      <w:proofErr w:type="spellEnd"/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фермента-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(АПФ-2)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необходимого для инвазии вируса, высоко выражена в </w:t>
      </w:r>
      <w:proofErr w:type="spellStart"/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холангиоцитах</w:t>
      </w:r>
      <w:proofErr w:type="spellEnd"/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(59,7% клеток), тогда как в </w:t>
      </w:r>
      <w:proofErr w:type="spellStart"/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гепатоцитах</w:t>
      </w:r>
      <w:proofErr w:type="spellEnd"/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наблюдается низкая экспрессия (2,6%). (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53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Следовательно, 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SARS-CoV-2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обязательно непосредственно инфицирует клетки печени, но может вызывать дисфункцию желчных протоков, связываясь с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их </w:t>
      </w:r>
      <w:r w:rsidR="004A1C1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клетками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которые играют важную роль в регенерации печени и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</w:t>
      </w:r>
      <w:r w:rsidR="004A1C1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иммунном ответе 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54</w:t>
      </w:r>
      <w:r w:rsidR="00BE7B9D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  <w:r w:rsidR="004A1C1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8228EB" w:rsidRPr="0001791C" w:rsidRDefault="00BE7B9D" w:rsidP="00873791">
      <w:pPr>
        <w:widowControl/>
        <w:suppressAutoHyphens w:val="0"/>
        <w:autoSpaceDN/>
        <w:spacing w:after="0" w:line="480" w:lineRule="auto"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Важно отметить, что при посмертных исследованиях в ткани печени выявляли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сверхактивацию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Т-клеток, что может свидетельствовать о цитотоксическом повреждении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гепатоцитов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Т-клетками в ответ на вирусную инфекцию (</w:t>
      </w:r>
      <w:r w:rsidR="00B94731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55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49290B" w:rsidRPr="0001791C" w:rsidRDefault="008228EB" w:rsidP="00873791">
      <w:pPr>
        <w:widowControl/>
        <w:suppressAutoHyphens w:val="0"/>
        <w:autoSpaceDN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01791C">
        <w:rPr>
          <w:rFonts w:ascii="Times New Roman" w:eastAsia="Calibri" w:hAnsi="Times New Roman" w:cs="Times New Roman"/>
          <w:b/>
          <w:kern w:val="0"/>
          <w:sz w:val="28"/>
          <w:szCs w:val="28"/>
        </w:rPr>
        <w:t>Заключение</w:t>
      </w:r>
      <w:r w:rsidR="00B94731" w:rsidRPr="0001791C">
        <w:rPr>
          <w:rFonts w:ascii="Times New Roman" w:eastAsia="Calibri" w:hAnsi="Times New Roman" w:cs="Times New Roman"/>
          <w:b/>
          <w:kern w:val="0"/>
          <w:sz w:val="28"/>
          <w:szCs w:val="28"/>
        </w:rPr>
        <w:t>.</w:t>
      </w:r>
    </w:p>
    <w:p w:rsidR="008228EB" w:rsidRPr="0001791C" w:rsidRDefault="00853F57" w:rsidP="00873791">
      <w:pPr>
        <w:widowControl/>
        <w:suppressAutoHyphens w:val="0"/>
        <w:autoSpaceDN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Calibri" w:hAnsi="Times New Roman" w:cs="Times New Roman"/>
          <w:b/>
          <w:kern w:val="0"/>
          <w:sz w:val="28"/>
          <w:szCs w:val="28"/>
        </w:rPr>
        <w:lastRenderedPageBreak/>
        <w:t xml:space="preserve">             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>В настоящее время исследования</w:t>
      </w:r>
      <w:r w:rsidR="00BD31C4" w:rsidRPr="0001791C">
        <w:rPr>
          <w:rFonts w:ascii="Times New Roman" w:eastAsia="Calibri" w:hAnsi="Times New Roman" w:cs="Times New Roman"/>
          <w:kern w:val="0"/>
          <w:sz w:val="28"/>
          <w:szCs w:val="28"/>
        </w:rPr>
        <w:t>,</w:t>
      </w:r>
      <w:r w:rsidRPr="0001791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направленные на изучение влияния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вируса SARS-CoV-2</w:t>
      </w:r>
      <w:r w:rsidR="00BD31C4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продолжаются. Одновременно </w:t>
      </w:r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ведутся многочисленные исследования по эффективности различных препаратов и схем терапии у больных С</w:t>
      </w:r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OVID</w:t>
      </w:r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-19. Очевидно, что необходимость применения комплексной терапии у больных с тяжелыми проявлениями </w:t>
      </w:r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COVID</w:t>
      </w:r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-19 требует системной оценки состояния пациента и предотвращения развития нежелательных явлений с учетом статуса больного и наличия сопутствующей патологии. </w:t>
      </w:r>
      <w:proofErr w:type="spellStart"/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Гепатотоксические</w:t>
      </w:r>
      <w:proofErr w:type="spellEnd"/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реакции являются одними из наиболее </w:t>
      </w:r>
      <w:proofErr w:type="gramStart"/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распространенны</w:t>
      </w:r>
      <w:r w:rsidR="00BD31C4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proofErr w:type="gramEnd"/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что требует назначения </w:t>
      </w:r>
      <w:proofErr w:type="spellStart"/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гепатопротективной</w:t>
      </w:r>
      <w:proofErr w:type="spellEnd"/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терапии, которая будет способствовать снижению интоксикации смешанного генеза и предотвращать токсическое поражение печени. Необходимость проведения данных мероприятий будет способствовать получению хорошей эффективности </w:t>
      </w:r>
      <w:r w:rsidR="00BD31C4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лечения </w:t>
      </w:r>
      <w:r w:rsidR="0022616F"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фоне проводимой терапии и скорейшему выздоровлению пациента. </w:t>
      </w:r>
    </w:p>
    <w:p w:rsidR="003C0A4D" w:rsidRPr="0001791C" w:rsidRDefault="003C0A4D" w:rsidP="00873791">
      <w:pPr>
        <w:widowControl/>
        <w:suppressAutoHyphens w:val="0"/>
        <w:autoSpaceDN/>
        <w:spacing w:after="0" w:line="48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3C0A4D" w:rsidRPr="0001791C" w:rsidRDefault="003C0A4D" w:rsidP="00873791">
      <w:pPr>
        <w:pStyle w:val="Standard"/>
        <w:spacing w:after="200" w:line="480" w:lineRule="auto"/>
        <w:jc w:val="both"/>
        <w:rPr>
          <w:b/>
          <w:sz w:val="28"/>
          <w:szCs w:val="28"/>
        </w:rPr>
      </w:pPr>
      <w:r w:rsidRPr="0001791C">
        <w:rPr>
          <w:b/>
          <w:sz w:val="28"/>
          <w:szCs w:val="28"/>
        </w:rPr>
        <w:t>Конфликт интересов.</w:t>
      </w:r>
    </w:p>
    <w:p w:rsidR="003C0A4D" w:rsidRPr="0001791C" w:rsidRDefault="003C0A4D" w:rsidP="00873791">
      <w:pPr>
        <w:pStyle w:val="Standard"/>
        <w:spacing w:after="200" w:line="480" w:lineRule="auto"/>
        <w:jc w:val="both"/>
        <w:rPr>
          <w:sz w:val="28"/>
          <w:szCs w:val="28"/>
        </w:rPr>
      </w:pPr>
      <w:r w:rsidRPr="0001791C">
        <w:rPr>
          <w:sz w:val="28"/>
          <w:szCs w:val="28"/>
        </w:rPr>
        <w:t>Авторы не имеют конфликта интересов.</w:t>
      </w:r>
    </w:p>
    <w:p w:rsidR="00DC69D8" w:rsidRPr="0001791C" w:rsidRDefault="00DC69D8" w:rsidP="00DC69D8">
      <w:pPr>
        <w:widowControl/>
        <w:tabs>
          <w:tab w:val="left" w:pos="1484"/>
        </w:tabs>
        <w:suppressAutoHyphens w:val="0"/>
        <w:autoSpaceDN/>
        <w:spacing w:line="480" w:lineRule="auto"/>
        <w:textAlignment w:val="auto"/>
        <w:rPr>
          <w:rFonts w:ascii="Times New Roman" w:eastAsiaTheme="minorHAnsi" w:hAnsi="Times New Roman" w:cs="Times New Roman"/>
          <w:b/>
          <w:kern w:val="0"/>
          <w:sz w:val="28"/>
          <w:szCs w:val="28"/>
        </w:rPr>
      </w:pPr>
      <w:r w:rsidRPr="0001791C">
        <w:rPr>
          <w:rFonts w:ascii="Times New Roman" w:eastAsiaTheme="minorHAnsi" w:hAnsi="Times New Roman" w:cs="Times New Roman"/>
          <w:b/>
          <w:kern w:val="0"/>
          <w:sz w:val="28"/>
          <w:szCs w:val="28"/>
        </w:rPr>
        <w:t>Список литературы: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WHO. Coronavirus disease (COVID-19) Pandemic. Geneva: WHO; 2020. https://www.who.int/emergencies/diseases/novel-coronavirus-2019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WHO. Emergency use ICD codes for COVID-19 disease outbreak. Geneva: WHO; 2020.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en-US"/>
        </w:rPr>
        <w:lastRenderedPageBreak/>
        <w:t>CORONAVIRUS (COVID-19) (</w:t>
      </w:r>
      <w:hyperlink r:id="rId9" w:history="1">
        <w:r w:rsidRPr="0001791C">
          <w:rPr>
            <w:rFonts w:ascii="Times New Roman" w:eastAsiaTheme="minorHAnsi" w:hAnsi="Times New Roman" w:cs="Times New Roman"/>
            <w:kern w:val="0"/>
            <w:sz w:val="28"/>
            <w:szCs w:val="28"/>
            <w:u w:val="single"/>
            <w:lang w:val="en-US"/>
          </w:rPr>
          <w:t>https://coronavirus-monitor.ru/</w:t>
        </w:r>
      </w:hyperlink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)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The Epidemiological Characteristics of an Outbreak of 2019 Novel Coronavirus Diseases (COVID-19) — China, 2020. China CDC Weekly. 2020, 2(8): 113-122. </w:t>
      </w:r>
      <w:hyperlink r:id="rId10" w:history="1">
        <w:r w:rsidRPr="0001791C">
          <w:rPr>
            <w:rFonts w:ascii="Times New Roman" w:eastAsiaTheme="minorHAnsi" w:hAnsi="Times New Roman" w:cs="Times New Roman"/>
            <w:kern w:val="0"/>
            <w:sz w:val="28"/>
            <w:szCs w:val="28"/>
            <w:u w:val="single"/>
            <w:lang w:val="en-US"/>
          </w:rPr>
          <w:t>http://weekly.chinacdc.cn/en/article/id/e53946e2-c6c4-41e9-9a9b-fea8db1a8f51</w:t>
        </w:r>
      </w:hyperlink>
    </w:p>
    <w:p w:rsidR="00DC69D8" w:rsidRPr="0001791C" w:rsidRDefault="00DC69D8" w:rsidP="00DC69D8">
      <w:pPr>
        <w:numPr>
          <w:ilvl w:val="0"/>
          <w:numId w:val="2"/>
        </w:numPr>
        <w:tabs>
          <w:tab w:val="left" w:pos="1484"/>
        </w:tabs>
        <w:spacing w:line="48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Старшинова А.А., Кушнарева Е.А., Малкова А.М., Довгалюк И.Ф., Кудлай Д.А. Новая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коронавирусная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инфекция: особенности клинического течения, возможности диагностики, лечения и профилактики инфекции у взрослых и детей.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Вопросы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современной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педиатрии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2020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;19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(2):42-50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Щелканов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М.Ю., Попова А.Ю., Дедков В.Г., Акимкин В.Г., Малеев В.В. История изучения и современная классификация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коронавирусов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. Инфекция и иммунитет 2020; 10(2):221–246.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Tyrrell DAJ,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Bynoe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 L Cultivation of a Novel Type of Common-cold Virus in Organ Cultures. Br Med J. 1965 Jun 5; 1(5448): 1467–1470. </w:t>
      </w:r>
      <w:proofErr w:type="spellStart"/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10.1136/bmj.1.5448.1467.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Lau S.K.P.,  Lee P., Tsang A.K.L., Cyril C.Y. Yip,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Tse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H., Lee A.R., So L.-S., Lau Y-L., Chan K.-H., Woo P. C. Y., Yuen K.-Y. Molecular Epidemiology of Human Coronavirus OC43 Reveals Evolution of Different Genotypes over Time and Recent Emergence of a Novel Genotype due to Natural Recombination. J. of Virology. 2011; 85 (21):11325–11337.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lastRenderedPageBreak/>
        <w:t>Rothe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Schunk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Sothmann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at al. Transmission of 2019-nCoV Infection from an Asymptomatic Contact in Germany. N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Engl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 Med. 2020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;382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(10):970.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Epub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2020 Jan 30. 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Azhar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E.I., El-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Kafrawy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S.A.,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Farraj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S.A., Hassan A.M., Al-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Saeed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M.S.,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Hashem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A.M.,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Madani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T.A. Evidence for camel-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tohuman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transmission of MERS coronavirus. N. Engl. J. Med., 2014, vol. 370, no. 26, pp. 2499–2505. </w:t>
      </w:r>
      <w:proofErr w:type="spellStart"/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10.1056/NEJMoa1401505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Bande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B.,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Arshad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S.S., Omar A.R., 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Hair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-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Bejo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Mahmuda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A., Nair V. Global distributions and strain diversity of avian infectious bronchitis virus: a review. Anim. Health Res. Rev., 2017, vol. 18, no. 1, pp. 70–83.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10.1017/S1466252317000044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Bukhari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K., Mulley G.,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Gulyaeva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A.A., Zhao L.,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Shu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G., Jiang J.,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Neuman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B.W. Description and initial characterization of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metatranscriptomic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nidovirus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-like genomes from the proposed new family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Abyssoviridae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, and from a sister group to the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Coronavirinae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, the proposed genus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Alphaletovirus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Virology, 2018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; 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524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: 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160–171.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10.1016/j.virol.2018.08.010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Menachery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V.D., Boyd L.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Yount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Jr.,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Debbink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Agnihothram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Gralinski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L.E.,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Plante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J.A., Graham R.L., Scobey T.,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X.-Y.,  Donaldson E.F.,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Randell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S.H.,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Lanzavecchia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A.,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Marasco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W.A., Shi Z.-L., Baric R.S. SARS-like cluster of circulating bat coronavirus pose threat for human emergence. Nat Med. 2015 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December ;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21(12): 1508–1513. doi:10.1038/nm.3985.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lastRenderedPageBreak/>
        <w:t>Wölfel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Corman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MV,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Guggemos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W,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Seilmaier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Zange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S, Müller AM, Niemeyer D, Kelly T,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Vollmar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Rothe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 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Hoelscher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Bleicker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T,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Brünink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S, Schneider 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Ehmann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Zwirglmaier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Drosten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Wendtner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Virological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assessment of hospitalized cases of coronavirus disease 2019.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MedRxiv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. 2020. </w:t>
      </w:r>
      <w:proofErr w:type="spellStart"/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https://doi.org/10.1101/2020.03.05.20030502.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XWS, Tan K, Chia YP,  Lee HT, Ng OT, Wong YSM,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Kalisvar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Marimuthu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K. Air, Surface Environmental, and Personal Protective Equipment Contamination by Severe Acute Respiratory Syndrome Coronavirus 2 (SARS-CoV-2) From a Symptomatic Patient. JAMA. 2020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;323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(16):1610-1612. doi:10.1001/jama.2020.3227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Wu F., Zhao S., Yu B., Chen Y.M., Wang W., Song Z.G., Hu Y., Tao Z.W.,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Tian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J.H., Pei Y.Y., Yuan M.L., Zhang Y.L., Dai F.H., Liu Y., Wang Q.M.,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Zheng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J.J.,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Xu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L., Holmes E.C., Zhang Y.Z. A new coronavirus associated with human respiratory disease in China. Nature, 2020.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10.1038/s41586-020-2008-3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Sims AC, Baric RS,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Yount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B, et al. Severe acute respiratory syndrome coronavirus infection of human ciliated airway epithelia: role of ciliated cells in viral spread in the conducting airways of the lungs. J.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Virol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2005; 79: 15511–15524. doi:10.1128/JVI.79.24.15511-15524.2005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Guan  W-J, Ni Z-Y, Hu Y, Liang W-H,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Ch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-Q, He J-X, Liu L, Shan H, Lei C-L,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Hui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CSD, Du B, Li L-J,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Zeng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Yuen K-Y, Chen R-C, Tang C-L,  Wang T, Chen P-Y, Xiang J, Li S-Y, Wang J-L, Liang Z-J, Yi-Xiang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Peng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lastRenderedPageBreak/>
        <w:t xml:space="preserve">Y-X, Wei L, Liu Y, Hu Y-H,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Peng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Wang J-M, Liu J-Y, Chen Z, Li G,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Zheng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Z-J,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Qiu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S-Q,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Luo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Ye C-J, Zhu S-Y,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Zhong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N-S. Clinical Characteristics of Coronavirus Disease 2019 in China.2020. N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Engl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 Med; 382(18):1708-1720. DOI: 10.1056/NEJMoa2002032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Xiao X,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Chakraborti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Dimitrov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AS,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Gramatikoff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Dimitrov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DS. The SARS-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CoV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 glycoprotein: expression and functional characterization.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Biochem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Biophys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Res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Commun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2003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;312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(4):1159‐1164. doi:10.1016/j.bbrc.2003.11.054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Babcock GJ.,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Esshaki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DJ, Thomas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WDJr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Ambrosino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DM Amino acids 270 to 510 of the severe acute respiratory syndrome coronavirus spike protein 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are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required for interaction with receptor. J.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Virol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. 2004; 78, 4552–4560; 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Wong SK, Li W, Moore MJ,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Choe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H,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Farzan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 A 193-amino acid fragment of the SARS coronavirus S protein efficiently binds angiotensin- converting enzyme 2. J. Biol. Chem. 2004. 279, 3197–3201, 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Simmons, G. et al. Inhibitors of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cathepsin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L prevent severe acute respiratory syndrome coronavirus entry. Proc.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Natl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Acad. Sci. USA. 2005. 102, 11876–11881.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Bosch JB, Martina EEB, van der Zee 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Lepault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Haijema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BJ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Versluis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Heck RJA, de Groot 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Osterhaus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Rottier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MJP. Proc.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Natl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Acad. Sci. 2004; 101, 8455–8460; https://doi.org/10.1073/pnas.0400576101.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Liu S, Xiao G, Chen Y, He Y,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Niu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Escalante RC,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Xiong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H,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Farmar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Debnath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AK,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Tien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Jiang S. Interaction Between Heptad Repeat 1 and 2 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lastRenderedPageBreak/>
        <w:t xml:space="preserve">Regions in Spike Protein of SARS-associated Coronavirus: Implications for Virus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Fusogenic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Mechanism and Identification of Fusion Inhibitors. Lancet. 2004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;363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(9413):938-47. </w:t>
      </w:r>
      <w:proofErr w:type="spellStart"/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10.1016/S0140-6736(04)15788-7.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Letko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Marzi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Munster V. Functional assessment of cell entry and receptor usage for SARS-CoV-2 and other lineage B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betacoronaviruses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Nat Microbiol.2020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;5:562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–569. doi:10.1038/s41564-020-0688-y; 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Giani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Seminati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D,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Lucchini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Foti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Pagni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F. Exuberant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Plasmocytosis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in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Bronchoalveolar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Lavage Specimen of the First Patient Requiring Extracorporeal Membrane Oxygenation for SARS-CoV-2 in Europe. J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Thorac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Oncol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2020 May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;15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(5):e65-e66. </w:t>
      </w:r>
      <w:proofErr w:type="spellStart"/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doi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: 10.1016/j.jtho.2020.03.008.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Liu W.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,  Li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H. COVID-19: Attacks the 1-Beta Chain of Hemoglobin and Captures the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Porphyrin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to Inhibit Human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Heme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Metabolism. 2020. DOI:0000-0003-3670-3915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Geleris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Sun Y, Platt 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Zucker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Baldwin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Hripcsak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Labella A, Manson D,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Kubin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R. Barr GR,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Sobieszczyk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EM,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Schluger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WN. Observational Study of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Hydroxychloroquine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in Hospitalized Patients with Covid-19. NEJM.2020 DOI: 10.1056/NEJMoa2012410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u w:val="single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Cavalli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De Luca G,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Campochiaro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 Della-Torre E,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Ripa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 Canetti D,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Oltolini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Castiglioni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B,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Tassan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Din 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Boffini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N,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Tomelleri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Farina N, Ruggeri A,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Rovere-Querini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Di Lucca G,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Martinenghi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Scotti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Tresoldi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Ciceri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F,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Landoni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Zangrillo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Scarpellini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Dagna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L. Interleukin-1 blockade with high-dose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anakinra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in patients with COVID-19, 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lastRenderedPageBreak/>
        <w:t xml:space="preserve">acute respiratory distress syndrome, and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hyperinflammation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: a retrospective cohort study.  Lancet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Rheumatol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2020. </w:t>
      </w:r>
      <w:hyperlink r:id="rId11" w:history="1">
        <w:r w:rsidRPr="0001791C">
          <w:rPr>
            <w:rFonts w:ascii="Times New Roman" w:eastAsiaTheme="minorHAnsi" w:hAnsi="Times New Roman" w:cs="Times New Roman"/>
            <w:kern w:val="0"/>
            <w:sz w:val="28"/>
            <w:szCs w:val="28"/>
            <w:u w:val="single"/>
            <w:lang w:val="en-US"/>
          </w:rPr>
          <w:t>https://doi.org/10.1016/S2665-9913(20)30127-2</w:t>
        </w:r>
      </w:hyperlink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Wu Z,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McGoogan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JM. Characteristics of and important lessons from the coronavirus disease 2019 (COVID-19) outbreak in China: summary of a report of 72314 cases from the Chinese Center for Disease Control and Prevention. JAMA 2020; doi.org/10.1001/jama.2020.2648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Li  Y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Xie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Z, Lin W,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Cai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W,  Wen C, Guan Y, Mo X, Wang J, Wang Y,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Peng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P,  Chen X,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Wenxin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Hong W, Xiao G, Liu J, Zhang L,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Fengyu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Hu, Li F, Zhang F, Deng X, Li L. Efficacy and safety of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lopinavir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/ritonavir or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arbidol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in adult patients with mild/moderate COVID-19: an exploratory randomized controlled trial. Med (2020). DOI: </w:t>
      </w:r>
      <w:hyperlink r:id="rId12" w:history="1">
        <w:r w:rsidRPr="0001791C">
          <w:rPr>
            <w:rFonts w:ascii="Times New Roman" w:eastAsiaTheme="minorHAnsi" w:hAnsi="Times New Roman" w:cs="Times New Roman"/>
            <w:kern w:val="0"/>
            <w:sz w:val="28"/>
            <w:szCs w:val="28"/>
            <w:u w:val="single"/>
            <w:lang w:val="en-US"/>
          </w:rPr>
          <w:t>https://doi.org/10.1016/j.medj.2020.04.001</w:t>
        </w:r>
      </w:hyperlink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Beigel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JH,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Tomashek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KM, Dodd LE, Mehta AK,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Zingman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BS,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Kalil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Hohmann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E, Chu HY,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Luetkemeyer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Kline S , Lopez de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Castilla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D, Finberg RW,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Dierberg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K,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Tapson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V, Hsieh L, Patterson TF,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Paredes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R, Sweeney DA, Short WR,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Touloumi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Lye DC,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Ohmagari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N , Oh M,  Ruiz-Palacios GM, Benfield T 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Fätkenheuer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Kortepeter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MG,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Atmar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RL, Creech CB, Lundgren J 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Babiker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AG,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Pett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 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Neaton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JD, Burgess TH,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Bonnett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T, Green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Makowski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Osinusi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Nayak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S,  Lane HC.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Remdesivir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for the Treatment of Covid-19 — Preliminary Report. May 22, 2020</w:t>
      </w:r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,  NEJM.org</w:t>
      </w:r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DOI: 10.1056/NEJMoa2007764.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lastRenderedPageBreak/>
        <w:t xml:space="preserve">Clinical Study Evaluating the Efficacy of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Faviprevir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in COVID-19 Treatment. </w:t>
      </w:r>
      <w:hyperlink r:id="rId13" w:anchor="!/content/clinical_trial/24-s2.0-NCT04351295" w:history="1">
        <w:r w:rsidRPr="0001791C">
          <w:rPr>
            <w:rFonts w:ascii="Times New Roman" w:eastAsiaTheme="minorHAnsi" w:hAnsi="Times New Roman" w:cs="Times New Roman"/>
            <w:kern w:val="0"/>
            <w:sz w:val="28"/>
            <w:szCs w:val="28"/>
            <w:u w:val="single"/>
            <w:lang w:val="en-US"/>
          </w:rPr>
          <w:t>https://www.clinicalkey.com/#!/content/clinical_trial/24-s2.0-NCT04351295</w:t>
        </w:r>
      </w:hyperlink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Geleris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Sun Y, Platt J,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Zucker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J, Baldwin 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Hripcsak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G, Labella A, Manson D,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Kubin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C, R. Barr GR,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Sobieszczyk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EM,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Schluger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WN. Observational Study of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Hydroxychloroquine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in Hospitalized Patients with Covid-19. NEJM.2020 DOI: 10.1056/NEJMoa2012410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Временные методические рекомендации «Профилактика, диагностика и лечение новой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коронавирусной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инфекции (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COVID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</w:rPr>
        <w:t>-19)» (версия 7 от 03.06.2020) -165с.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Старшинова А.А., Беляева Е.Н., Пантелеев А.М., Павлова М.В. Применение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>гепатопротекторов</w:t>
      </w:r>
      <w:proofErr w:type="spellEnd"/>
      <w:r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фоне химиотерапии туберкулеза: обзор отечественных и зарубежных исследований. </w:t>
      </w:r>
      <w:r w:rsidRPr="000179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Туберкулез и болезни легких</w:t>
      </w:r>
      <w:r w:rsidRPr="0001791C">
        <w:rPr>
          <w:rFonts w:ascii="Times New Roman" w:hAnsi="Times New Roman" w:cs="Times New Roman"/>
          <w:sz w:val="28"/>
          <w:szCs w:val="28"/>
          <w:shd w:val="clear" w:color="auto" w:fill="FFFFFF"/>
        </w:rPr>
        <w:t>. 2018;96(10):63-69. </w:t>
      </w:r>
      <w:hyperlink r:id="rId14" w:tgtFrame="_blank" w:history="1">
        <w:r w:rsidRPr="0001791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https://doi.org/10.21292/2075-1230-2018-96-10-63-69</w:t>
        </w:r>
      </w:hyperlink>
      <w:r w:rsidRPr="0001791C">
        <w:rPr>
          <w:rFonts w:ascii="Times New Roman" w:hAnsi="Times New Roman" w:cs="Times New Roman"/>
          <w:sz w:val="28"/>
          <w:szCs w:val="28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791C">
        <w:rPr>
          <w:rFonts w:ascii="Times New Roman" w:hAnsi="Times New Roman" w:cs="Times New Roman"/>
          <w:sz w:val="28"/>
          <w:szCs w:val="28"/>
        </w:rPr>
        <w:t xml:space="preserve">Лазебник Л. Б., Голованова Е. В., Алексеенко С. А.,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Арямкина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О. Л., Бакулин И. Г., Бакулина Н. В., Барановский А. Ю., Бондаренко О. А.,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Варганова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А. Н., Волкова Т. В., Вологжанина Л. Г.,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Волчегорский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И. А., Демичева Т. П.,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Долгушина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А. И.,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И. В.,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Минушкин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О. Н.,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Райхельсон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К. Л., Смирнова Е. Н., Тарасова Л. В., Хлынова О. В.</w:t>
      </w:r>
      <w:proofErr w:type="gramEnd"/>
      <w:r w:rsidRPr="0001791C">
        <w:rPr>
          <w:rFonts w:ascii="Times New Roman" w:hAnsi="Times New Roman" w:cs="Times New Roman"/>
          <w:sz w:val="28"/>
          <w:szCs w:val="28"/>
        </w:rPr>
        <w:t xml:space="preserve">, Цыганова Ю. В. Лекарственные поражения печени (ЛПП) у взрослых. </w:t>
      </w:r>
      <w:r w:rsidRPr="0001791C">
        <w:rPr>
          <w:rFonts w:ascii="Times New Roman" w:hAnsi="Times New Roman" w:cs="Times New Roman"/>
          <w:sz w:val="28"/>
          <w:szCs w:val="28"/>
        </w:rPr>
        <w:lastRenderedPageBreak/>
        <w:t>Экспериментальная и клиническая гастроэнтерология. 2020;174(2):29-54.</w:t>
      </w:r>
    </w:p>
    <w:p w:rsidR="00DC69D8" w:rsidRPr="0001791C" w:rsidRDefault="00DC69D8" w:rsidP="00DC69D8">
      <w:pPr>
        <w:widowControl/>
        <w:numPr>
          <w:ilvl w:val="0"/>
          <w:numId w:val="2"/>
        </w:numPr>
        <w:tabs>
          <w:tab w:val="left" w:pos="1484"/>
        </w:tabs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Boettler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T., Newsome P.N.,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Mondelli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M.U</w:t>
      </w:r>
      <w:proofErr w:type="gramStart"/>
      <w:r w:rsidRPr="0001791C">
        <w:rPr>
          <w:rFonts w:ascii="Times New Roman" w:hAnsi="Times New Roman" w:cs="Times New Roman"/>
          <w:sz w:val="28"/>
          <w:szCs w:val="28"/>
          <w:lang w:val="en-US"/>
        </w:rPr>
        <w:t>. ,</w:t>
      </w:r>
      <w:proofErr w:type="gram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Matitic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M.,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Cordeo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E.,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Cornberg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M. et al.  Care of patients with liver disease during the COVID-19 pandemic: EASL-ESCMID position paper. </w:t>
      </w:r>
      <w:r w:rsidRPr="0001791C">
        <w:rPr>
          <w:rFonts w:ascii="Times New Roman" w:hAnsi="Times New Roman" w:cs="Times New Roman"/>
          <w:sz w:val="28"/>
          <w:szCs w:val="28"/>
        </w:rPr>
        <w:t xml:space="preserve">JHEP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Rep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>. 2020;2(3):100113-. DOI:10.1016/j.jhepr.2020.100113.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Fan Z.,  Chen, L., Li, J., 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Tian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C., Zhang Y.,  Huang S. et al.  Clinical Features of COVID-19-Related Liver Damage, 2020. Available at SSRN 3546077. </w:t>
      </w:r>
      <w:r w:rsidRPr="0001791C">
        <w:rPr>
          <w:rFonts w:ascii="Times New Roman" w:hAnsi="Times New Roman" w:cs="Times New Roman"/>
          <w:sz w:val="28"/>
          <w:szCs w:val="28"/>
        </w:rPr>
        <w:t>DOI: 10.2139/ssrn.3546077.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  <w:lang w:val="en-US"/>
        </w:rPr>
      </w:pPr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Chen, N., Zhou, M., Dong, X., </w:t>
      </w:r>
      <w:proofErr w:type="spellStart"/>
      <w:r w:rsidRPr="0001791C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J., Gong F., Han Y. et al. Epidemiological and clinical characteristics of 99 cases of 2019 novel coronavirus pneumonia in Wuhan, China: a descriptive study. The Lancet, 2020; 395(10223): 507-13. DOI: </w:t>
      </w:r>
      <w:hyperlink r:id="rId15" w:history="1">
        <w:r w:rsidRPr="0001791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https://doi.org/10.1016/S0140-6736(20)30211-7</w:t>
        </w:r>
      </w:hyperlink>
      <w:r w:rsidRPr="000179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Xu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X, Han M, Li T, et al. Effective treatment of severe COVID-19 patients with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tocilizumab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. </w:t>
      </w:r>
      <w:proofErr w:type="spellStart"/>
      <w:proofErr w:type="gram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chinaXiv</w:t>
      </w:r>
      <w:proofErr w:type="spellEnd"/>
      <w:proofErr w:type="gram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Preprint posted March 5, 2020. doi:10.12074/202003.00026.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</w:pP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Aithal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 G. P., Watkins P. B., Andrade R. J. et al. Case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defi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nition</w:t>
      </w:r>
      <w:proofErr w:type="spellEnd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and phenotype standardization in drug-induced liver injury. Review // </w:t>
      </w:r>
      <w:proofErr w:type="spellStart"/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C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lin.Pharmacol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Th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er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. 2011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;89</w:t>
      </w:r>
      <w:proofErr w:type="gramEnd"/>
      <w:r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(6):</w:t>
      </w:r>
      <w:r w:rsidRPr="0001791C">
        <w:rPr>
          <w:rFonts w:ascii="Times New Roman" w:eastAsiaTheme="minorHAnsi" w:hAnsi="Times New Roman" w:cs="Times New Roman"/>
          <w:kern w:val="0"/>
          <w:sz w:val="28"/>
          <w:szCs w:val="28"/>
          <w:lang w:val="en-US"/>
        </w:rPr>
        <w:t>806–815.</w:t>
      </w:r>
    </w:p>
    <w:p w:rsidR="00DC69D8" w:rsidRPr="0001791C" w:rsidRDefault="00DC69D8" w:rsidP="00DC69D8">
      <w:pPr>
        <w:numPr>
          <w:ilvl w:val="0"/>
          <w:numId w:val="2"/>
        </w:numPr>
        <w:suppressAutoHyphens w:val="0"/>
        <w:autoSpaceDE w:val="0"/>
        <w:adjustRightInd w:val="0"/>
        <w:spacing w:after="24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</w:rPr>
        <w:t xml:space="preserve">Ильченко Л.Ю., С.В.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Оковитый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Ремаксол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: механизмы действия и применение в клинической практике. Часть </w:t>
      </w:r>
      <w:r>
        <w:rPr>
          <w:rFonts w:ascii="Times New Roman" w:hAnsi="Times New Roman" w:cs="Times New Roman"/>
          <w:sz w:val="28"/>
          <w:szCs w:val="28"/>
        </w:rPr>
        <w:t>2 / Архив внутренней медицины. 2016</w:t>
      </w:r>
      <w:r w:rsidRPr="00F8362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6(29)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1791C">
        <w:rPr>
          <w:rFonts w:ascii="Times New Roman" w:hAnsi="Times New Roman" w:cs="Times New Roman"/>
          <w:sz w:val="28"/>
          <w:szCs w:val="28"/>
        </w:rPr>
        <w:t>8-18.</w:t>
      </w:r>
    </w:p>
    <w:p w:rsidR="00DC69D8" w:rsidRPr="0001791C" w:rsidRDefault="00DC69D8" w:rsidP="00DC69D8">
      <w:pPr>
        <w:numPr>
          <w:ilvl w:val="0"/>
          <w:numId w:val="2"/>
        </w:numPr>
        <w:suppressAutoHyphens w:val="0"/>
        <w:autoSpaceDE w:val="0"/>
        <w:adjustRightInd w:val="0"/>
        <w:spacing w:after="24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</w:rPr>
        <w:lastRenderedPageBreak/>
        <w:t xml:space="preserve">Ильченко Л.Ю., С.В.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Оковитый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Ремаксол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>: механизмы действия и применение в клинической практике. Часть 1 / Архив вн</w:t>
      </w:r>
      <w:r>
        <w:rPr>
          <w:rFonts w:ascii="Times New Roman" w:hAnsi="Times New Roman" w:cs="Times New Roman"/>
          <w:sz w:val="28"/>
          <w:szCs w:val="28"/>
        </w:rPr>
        <w:t>утренней медицины. 2016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6(28)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1791C">
        <w:rPr>
          <w:rFonts w:ascii="Times New Roman" w:hAnsi="Times New Roman" w:cs="Times New Roman"/>
          <w:sz w:val="28"/>
          <w:szCs w:val="28"/>
        </w:rPr>
        <w:t>16-22.</w:t>
      </w:r>
    </w:p>
    <w:p w:rsidR="00DC69D8" w:rsidRPr="0001791C" w:rsidRDefault="00DC69D8" w:rsidP="00DC69D8">
      <w:pPr>
        <w:numPr>
          <w:ilvl w:val="0"/>
          <w:numId w:val="2"/>
        </w:numPr>
        <w:suppressAutoHyphens w:val="0"/>
        <w:autoSpaceDE w:val="0"/>
        <w:adjustRightInd w:val="0"/>
        <w:spacing w:after="24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Салогуб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Т.В., Суханов Д.С., Петров А.Ю., Коваленко А.Л., Горячева Л.Г., Романцов М.Г. Риск неблагоприятных исходов при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фармакоэкономическом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анализе и оценка безопасности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ремаксола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в терапии хронических вирусных поражений печени (по материалам многоцентровых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рандомизированных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клинических исследований). Антибиотики и химиотерапия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1791C">
        <w:rPr>
          <w:rFonts w:ascii="Times New Roman" w:hAnsi="Times New Roman" w:cs="Times New Roman"/>
          <w:sz w:val="28"/>
          <w:szCs w:val="28"/>
        </w:rPr>
        <w:t>201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>0:</w:t>
      </w:r>
      <w:r w:rsidRPr="0001791C">
        <w:rPr>
          <w:rFonts w:ascii="Times New Roman" w:hAnsi="Times New Roman" w:cs="Times New Roman"/>
          <w:sz w:val="28"/>
          <w:szCs w:val="28"/>
        </w:rPr>
        <w:t>1-4.</w:t>
      </w:r>
    </w:p>
    <w:p w:rsidR="00DC69D8" w:rsidRPr="0001791C" w:rsidRDefault="00DC69D8" w:rsidP="00DC69D8">
      <w:pPr>
        <w:numPr>
          <w:ilvl w:val="0"/>
          <w:numId w:val="2"/>
        </w:numPr>
        <w:suppressAutoHyphens w:val="0"/>
        <w:autoSpaceDE w:val="0"/>
        <w:adjustRightInd w:val="0"/>
        <w:spacing w:after="240" w:line="480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1791C">
        <w:rPr>
          <w:rFonts w:ascii="Times New Roman" w:hAnsi="Times New Roman" w:cs="Times New Roman"/>
          <w:sz w:val="28"/>
          <w:szCs w:val="28"/>
        </w:rPr>
        <w:t xml:space="preserve">Суханов Д.С. Антиоксидантные свойства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ремасола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реамбирина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91C">
        <w:rPr>
          <w:rFonts w:ascii="Times New Roman" w:hAnsi="Times New Roman" w:cs="Times New Roman"/>
          <w:sz w:val="28"/>
          <w:szCs w:val="28"/>
        </w:rPr>
        <w:t>адеметионина</w:t>
      </w:r>
      <w:proofErr w:type="spellEnd"/>
      <w:r w:rsidRPr="0001791C">
        <w:rPr>
          <w:rFonts w:ascii="Times New Roman" w:hAnsi="Times New Roman" w:cs="Times New Roman"/>
          <w:sz w:val="28"/>
          <w:szCs w:val="28"/>
        </w:rPr>
        <w:t xml:space="preserve"> при лекарственных поражениях печени у больных на фоне противотуберкулезной терапии. Экспериментальная и клиническая фармакология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1791C">
        <w:rPr>
          <w:rFonts w:ascii="Times New Roman" w:hAnsi="Times New Roman" w:cs="Times New Roman"/>
          <w:sz w:val="28"/>
          <w:szCs w:val="28"/>
        </w:rPr>
        <w:t>2013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1791C">
        <w:rPr>
          <w:rFonts w:ascii="Times New Roman" w:hAnsi="Times New Roman" w:cs="Times New Roman"/>
          <w:sz w:val="28"/>
          <w:szCs w:val="28"/>
        </w:rPr>
        <w:t>76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1791C">
        <w:rPr>
          <w:rFonts w:ascii="Times New Roman" w:hAnsi="Times New Roman" w:cs="Times New Roman"/>
          <w:sz w:val="28"/>
          <w:szCs w:val="28"/>
        </w:rPr>
        <w:t>4</w:t>
      </w:r>
      <w:r w:rsidRPr="0001791C">
        <w:rPr>
          <w:rFonts w:ascii="Times New Roman" w:hAnsi="Times New Roman" w:cs="Times New Roman"/>
          <w:sz w:val="28"/>
          <w:szCs w:val="28"/>
          <w:lang w:val="en-US"/>
        </w:rPr>
        <w:t>):</w:t>
      </w:r>
      <w:r w:rsidRPr="0001791C">
        <w:rPr>
          <w:rFonts w:ascii="Times New Roman" w:hAnsi="Times New Roman" w:cs="Times New Roman"/>
          <w:sz w:val="28"/>
          <w:szCs w:val="28"/>
        </w:rPr>
        <w:t>45-48.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Su TH, Kao JH. The clinical manifestations and management of COVID-19-related liver injury. J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Formos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Med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Assoc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2020</w:t>
      </w:r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;119</w:t>
      </w:r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(6):1016-1018.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doi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:10.1016/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j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jfma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.2020.04.020.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Greenough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TC, Carville A,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Coderre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J,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Somasundaran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M, Sullivan JL,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Luzuriaga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K, Mansfield K. Pneumonitis and multi-organ system disease in common marmosets (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Callithrix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jacchus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) infected with the severe acute respiratory syndrome-associated coronavirus. Am J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Pathol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. 2005 Aug; 167(2):455-63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lastRenderedPageBreak/>
        <w:t xml:space="preserve">Ding Y., He L., Zhang Q., Huang Z.,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Che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X.,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Hou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J. Organ distribution of severe acute respiratory syndrome (SARS) associated coronavirus (SARS-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CoV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) in SARS patients: implications for pathogenesis and virus transmission pathways. J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Pathol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. 2004</w:t>
      </w:r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;203:622</w:t>
      </w:r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–630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Guo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Y,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Korteweg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C, McNutt MA,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Gu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J.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Pathogenetic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mechanisms of severe acute respiratory syndrome. Virus Res. 2008 Apr; 133(1):4-12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Tan Y.J., Fielding B.C.,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Goh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P.Y.,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Shen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S., Tan T.H., Lim S.G. Overexpression of 7a, a protein specifically encoded by the severe acute respiratory syndrome coronavirus, induces apoptosis via a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caspase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-dependent pathway. J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Virol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2004;78:14043–14047.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Xu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Z., Shi L., Wang Y., Zhang J., Huang L., Zhang C. Pathological findings of COVID-19 associated with acute respiratory distress syndrome. Lancet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Respir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Med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2020;8:420–422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Chai X., Hu L., Zhang Y., Han W., Lu Z.,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Ke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A. Specific ACE2 expression in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cholangiocytes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may cause liver damage after 2019-nCoV infection. </w:t>
      </w:r>
      <w:proofErr w:type="spellStart"/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bioRxiv</w:t>
      </w:r>
      <w:proofErr w:type="spellEnd"/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. 2020 2020.02.03.931766; Zhao Y, Zhao Z, Wang Y, Zhou Y, Ma Y, Zhou Y, Ma Y,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Zuo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W. Single-cell RNA expression profiling of ACE2, the receptor of SARS-CoV-2.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2020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Preprint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Available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from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bioRxiv</w:t>
      </w:r>
      <w:proofErr w:type="spellEnd"/>
      <w:proofErr w:type="gram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:2020.01.26.919985</w:t>
      </w:r>
      <w:proofErr w:type="gram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C69D8" w:rsidRPr="0001791C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Zhang H, Kang Z, Gong H,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Xu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D, Wang J, Li Z, Cui X, Xiao J,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Meng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T, Zhou W, Liu J,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Xu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H. The digestive system is a potential route of 2019-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lastRenderedPageBreak/>
        <w:t xml:space="preserve">nCov infection: a bioinformatics analysis based on single-cell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transcriptomes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. 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2020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Preprint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Available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from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bioRxiv:2020.01.30.927806.</w:t>
      </w:r>
    </w:p>
    <w:p w:rsidR="00DC69D8" w:rsidRPr="00F83628" w:rsidRDefault="00DC69D8" w:rsidP="00DC69D8">
      <w:pPr>
        <w:widowControl/>
        <w:numPr>
          <w:ilvl w:val="0"/>
          <w:numId w:val="2"/>
        </w:numPr>
        <w:suppressAutoHyphens w:val="0"/>
        <w:autoSpaceDN/>
        <w:spacing w:after="0" w:line="480" w:lineRule="auto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Ji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D., Qin E.,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Xu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J., Zhang D., Cheng G., Wang Y. Implication of non-alcoholic fatty liver diseases (NAFLD) in patients with COVID-19: a preliminary analysis. J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Hepatol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. 2020 </w:t>
      </w:r>
      <w:proofErr w:type="spellStart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doi</w:t>
      </w:r>
      <w:proofErr w:type="spellEnd"/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: 10.1016/j.jhep.2020.03.044</w:t>
      </w:r>
      <w:r w:rsidRPr="000179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E345E" w:rsidRPr="0001791C" w:rsidRDefault="008E345E" w:rsidP="00DC69D8">
      <w:pPr>
        <w:widowControl/>
        <w:suppressAutoHyphens w:val="0"/>
        <w:autoSpaceDN/>
        <w:spacing w:line="480" w:lineRule="auto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sectPr w:rsidR="008E345E" w:rsidRPr="0001791C" w:rsidSect="005D57A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B8" w:rsidRDefault="006736B8">
      <w:pPr>
        <w:spacing w:after="0" w:line="240" w:lineRule="auto"/>
      </w:pPr>
      <w:r>
        <w:separator/>
      </w:r>
    </w:p>
  </w:endnote>
  <w:endnote w:type="continuationSeparator" w:id="0">
    <w:p w:rsidR="006736B8" w:rsidRDefault="0067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616608"/>
      <w:docPartObj>
        <w:docPartGallery w:val="Page Numbers (Bottom of Page)"/>
        <w:docPartUnique/>
      </w:docPartObj>
    </w:sdtPr>
    <w:sdtEndPr/>
    <w:sdtContent>
      <w:p w:rsidR="008E345E" w:rsidRDefault="005D57A1">
        <w:pPr>
          <w:pStyle w:val="aa"/>
          <w:jc w:val="right"/>
        </w:pPr>
        <w:r>
          <w:fldChar w:fldCharType="begin"/>
        </w:r>
        <w:r w:rsidR="00044440">
          <w:instrText>PAGE   \* MERGEFORMAT</w:instrText>
        </w:r>
        <w:r>
          <w:fldChar w:fldCharType="separate"/>
        </w:r>
        <w:r w:rsidR="00B66C6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E345E" w:rsidRDefault="008E34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B8" w:rsidRDefault="006736B8">
      <w:pPr>
        <w:spacing w:after="0" w:line="240" w:lineRule="auto"/>
      </w:pPr>
      <w:r>
        <w:separator/>
      </w:r>
    </w:p>
  </w:footnote>
  <w:footnote w:type="continuationSeparator" w:id="0">
    <w:p w:rsidR="006736B8" w:rsidRDefault="0067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FB5"/>
    <w:multiLevelType w:val="multilevel"/>
    <w:tmpl w:val="E57C6DEC"/>
    <w:styleLink w:val="WWNum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46403664"/>
    <w:multiLevelType w:val="hybridMultilevel"/>
    <w:tmpl w:val="005AEF6E"/>
    <w:lvl w:ilvl="0" w:tplc="470AA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A22DF"/>
    <w:multiLevelType w:val="multilevel"/>
    <w:tmpl w:val="18FA7D58"/>
    <w:styleLink w:val="WWNum1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790A3ADA"/>
    <w:multiLevelType w:val="hybridMultilevel"/>
    <w:tmpl w:val="68ACF4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5E"/>
    <w:rsid w:val="0001791C"/>
    <w:rsid w:val="00044440"/>
    <w:rsid w:val="000D230F"/>
    <w:rsid w:val="000E5199"/>
    <w:rsid w:val="000E5A71"/>
    <w:rsid w:val="001B2AA6"/>
    <w:rsid w:val="001F60E9"/>
    <w:rsid w:val="0022616F"/>
    <w:rsid w:val="00291CE4"/>
    <w:rsid w:val="002A40EB"/>
    <w:rsid w:val="002C0F6C"/>
    <w:rsid w:val="002C4071"/>
    <w:rsid w:val="00337E6A"/>
    <w:rsid w:val="00345885"/>
    <w:rsid w:val="003A2E2C"/>
    <w:rsid w:val="003A7791"/>
    <w:rsid w:val="003C0A4D"/>
    <w:rsid w:val="003D1479"/>
    <w:rsid w:val="003F06DF"/>
    <w:rsid w:val="00416772"/>
    <w:rsid w:val="0049290B"/>
    <w:rsid w:val="004A1C1F"/>
    <w:rsid w:val="004A5816"/>
    <w:rsid w:val="004D2039"/>
    <w:rsid w:val="004F3FC0"/>
    <w:rsid w:val="005635F0"/>
    <w:rsid w:val="00573FE5"/>
    <w:rsid w:val="005A4A9B"/>
    <w:rsid w:val="005B4B25"/>
    <w:rsid w:val="005D57A1"/>
    <w:rsid w:val="00614E53"/>
    <w:rsid w:val="0064093C"/>
    <w:rsid w:val="00665CD1"/>
    <w:rsid w:val="006736B8"/>
    <w:rsid w:val="007C615A"/>
    <w:rsid w:val="008228EB"/>
    <w:rsid w:val="00844C22"/>
    <w:rsid w:val="00853F57"/>
    <w:rsid w:val="00873791"/>
    <w:rsid w:val="008859BB"/>
    <w:rsid w:val="00886210"/>
    <w:rsid w:val="008A63B7"/>
    <w:rsid w:val="008E345E"/>
    <w:rsid w:val="00911135"/>
    <w:rsid w:val="0098276E"/>
    <w:rsid w:val="009C0EA6"/>
    <w:rsid w:val="00A542FA"/>
    <w:rsid w:val="00A823DA"/>
    <w:rsid w:val="00B3712F"/>
    <w:rsid w:val="00B66C6A"/>
    <w:rsid w:val="00B94731"/>
    <w:rsid w:val="00BD31C4"/>
    <w:rsid w:val="00BD6DDC"/>
    <w:rsid w:val="00BE7B9D"/>
    <w:rsid w:val="00BF3DD7"/>
    <w:rsid w:val="00C25C31"/>
    <w:rsid w:val="00C90E09"/>
    <w:rsid w:val="00C9219D"/>
    <w:rsid w:val="00CB249A"/>
    <w:rsid w:val="00CF644B"/>
    <w:rsid w:val="00D023ED"/>
    <w:rsid w:val="00D42D83"/>
    <w:rsid w:val="00DB2777"/>
    <w:rsid w:val="00DC69D8"/>
    <w:rsid w:val="00EA1BBC"/>
    <w:rsid w:val="00F40F45"/>
    <w:rsid w:val="00F80DD1"/>
    <w:rsid w:val="00FC5C27"/>
    <w:rsid w:val="00FE25C2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56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05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rsid w:val="00860564"/>
    <w:rPr>
      <w:color w:val="0000FF"/>
      <w:u w:val="single"/>
    </w:rPr>
  </w:style>
  <w:style w:type="paragraph" w:styleId="a4">
    <w:name w:val="List Paragraph"/>
    <w:basedOn w:val="Standard"/>
    <w:link w:val="a5"/>
    <w:uiPriority w:val="99"/>
    <w:qFormat/>
    <w:rsid w:val="00860564"/>
    <w:pPr>
      <w:ind w:left="720"/>
    </w:pPr>
  </w:style>
  <w:style w:type="character" w:customStyle="1" w:styleId="a5">
    <w:name w:val="Абзац списка Знак"/>
    <w:link w:val="a4"/>
    <w:uiPriority w:val="99"/>
    <w:locked/>
    <w:rsid w:val="00D20702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D4"/>
    <w:rPr>
      <w:rFonts w:ascii="Tahoma" w:eastAsia="SimSun" w:hAnsi="Tahoma" w:cs="Tahoma"/>
      <w:kern w:val="3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9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FB1"/>
    <w:rPr>
      <w:rFonts w:ascii="Calibri" w:eastAsia="SimSun" w:hAnsi="Calibri" w:cs="F"/>
      <w:kern w:val="3"/>
    </w:rPr>
  </w:style>
  <w:style w:type="paragraph" w:styleId="aa">
    <w:name w:val="footer"/>
    <w:basedOn w:val="a"/>
    <w:link w:val="ab"/>
    <w:uiPriority w:val="99"/>
    <w:unhideWhenUsed/>
    <w:rsid w:val="0049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FB1"/>
    <w:rPr>
      <w:rFonts w:ascii="Calibri" w:eastAsia="SimSun" w:hAnsi="Calibri" w:cs="F"/>
      <w:kern w:val="3"/>
    </w:rPr>
  </w:style>
  <w:style w:type="numbering" w:customStyle="1" w:styleId="WWNum11">
    <w:name w:val="WWNum11"/>
    <w:basedOn w:val="a2"/>
    <w:rsid w:val="00CF644B"/>
    <w:pPr>
      <w:numPr>
        <w:numId w:val="3"/>
      </w:numPr>
    </w:pPr>
  </w:style>
  <w:style w:type="numbering" w:customStyle="1" w:styleId="WWNum1">
    <w:name w:val="WWNum1"/>
    <w:basedOn w:val="a2"/>
    <w:rsid w:val="00CF644B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56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05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rsid w:val="00860564"/>
    <w:rPr>
      <w:color w:val="0000FF"/>
      <w:u w:val="single"/>
    </w:rPr>
  </w:style>
  <w:style w:type="paragraph" w:styleId="a4">
    <w:name w:val="List Paragraph"/>
    <w:basedOn w:val="Standard"/>
    <w:link w:val="a5"/>
    <w:uiPriority w:val="99"/>
    <w:qFormat/>
    <w:rsid w:val="00860564"/>
    <w:pPr>
      <w:ind w:left="720"/>
    </w:pPr>
  </w:style>
  <w:style w:type="character" w:customStyle="1" w:styleId="a5">
    <w:name w:val="Абзац списка Знак"/>
    <w:link w:val="a4"/>
    <w:uiPriority w:val="99"/>
    <w:locked/>
    <w:rsid w:val="00D20702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D4"/>
    <w:rPr>
      <w:rFonts w:ascii="Tahoma" w:eastAsia="SimSun" w:hAnsi="Tahoma" w:cs="Tahoma"/>
      <w:kern w:val="3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9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FB1"/>
    <w:rPr>
      <w:rFonts w:ascii="Calibri" w:eastAsia="SimSun" w:hAnsi="Calibri" w:cs="F"/>
      <w:kern w:val="3"/>
    </w:rPr>
  </w:style>
  <w:style w:type="paragraph" w:styleId="aa">
    <w:name w:val="footer"/>
    <w:basedOn w:val="a"/>
    <w:link w:val="ab"/>
    <w:uiPriority w:val="99"/>
    <w:unhideWhenUsed/>
    <w:rsid w:val="0049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FB1"/>
    <w:rPr>
      <w:rFonts w:ascii="Calibri" w:eastAsia="SimSun" w:hAnsi="Calibri" w:cs="F"/>
      <w:kern w:val="3"/>
    </w:rPr>
  </w:style>
  <w:style w:type="numbering" w:customStyle="1" w:styleId="WWNum11">
    <w:name w:val="WWNum11"/>
    <w:basedOn w:val="a2"/>
    <w:rsid w:val="00CF644B"/>
    <w:pPr>
      <w:numPr>
        <w:numId w:val="3"/>
      </w:numPr>
    </w:pPr>
  </w:style>
  <w:style w:type="numbering" w:customStyle="1" w:styleId="WWNum1">
    <w:name w:val="WWNum1"/>
    <w:basedOn w:val="a2"/>
    <w:rsid w:val="00CF64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9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6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4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.sprinklr.com/" TargetMode="External"/><Relationship Id="rId13" Type="http://schemas.openxmlformats.org/officeDocument/2006/relationships/hyperlink" Target="https://www.clinicalkey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medj.2020.04.0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S2665-9913(20)30127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S0140-6736(20)30211-7" TargetMode="External"/><Relationship Id="rId10" Type="http://schemas.openxmlformats.org/officeDocument/2006/relationships/hyperlink" Target="http://weekly.chinacdc.cn/en/article/id/e53946e2-c6c4-41e9-9a9b-fea8db1a8f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onavirus-monitor.ru/" TargetMode="External"/><Relationship Id="rId14" Type="http://schemas.openxmlformats.org/officeDocument/2006/relationships/hyperlink" Target="https://doi.org/10.21292/2075-1230-2018-96-10-63-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2020-08-04T06:22:00Z</cp:lastPrinted>
  <dcterms:created xsi:type="dcterms:W3CDTF">2020-08-04T06:22:00Z</dcterms:created>
  <dcterms:modified xsi:type="dcterms:W3CDTF">2020-08-04T06:52:00Z</dcterms:modified>
</cp:coreProperties>
</file>