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51" w:rsidRDefault="00181851" w:rsidP="00181851">
      <w:pPr>
        <w:pStyle w:val="a3"/>
        <w:spacing w:after="90"/>
        <w:jc w:val="both"/>
      </w:pPr>
      <w:r>
        <w:t>Таблица 1. Пороговые</w:t>
      </w:r>
      <w:r w:rsidR="00B67E04">
        <w:t xml:space="preserve"> значения </w:t>
      </w:r>
      <w:r w:rsidR="00B67E04">
        <w:rPr>
          <w:lang w:val="ru-RU"/>
        </w:rPr>
        <w:t xml:space="preserve">глобальной продольной </w:t>
      </w:r>
      <w:r w:rsidR="00B67E04">
        <w:t>деформации</w:t>
      </w:r>
      <w:r w:rsidR="00B67E04">
        <w:rPr>
          <w:lang w:val="ru-RU"/>
        </w:rPr>
        <w:t xml:space="preserve"> </w:t>
      </w:r>
      <w:r>
        <w:t>миокарда</w:t>
      </w:r>
      <w:r w:rsidR="000C2F56">
        <w:rPr>
          <w:lang w:val="ru-RU"/>
        </w:rPr>
        <w:t xml:space="preserve"> (</w:t>
      </w:r>
      <w:r w:rsidR="000C2F56">
        <w:rPr>
          <w:lang w:val="en-US"/>
        </w:rPr>
        <w:t>GLS</w:t>
      </w:r>
      <w:r w:rsidR="000C2F56" w:rsidRPr="00B254AA">
        <w:t xml:space="preserve"> – </w:t>
      </w:r>
      <w:r w:rsidR="000C2F56">
        <w:rPr>
          <w:lang w:val="en-US"/>
        </w:rPr>
        <w:t>global</w:t>
      </w:r>
      <w:r w:rsidR="000C2F56" w:rsidRPr="00B254AA">
        <w:t xml:space="preserve"> </w:t>
      </w:r>
      <w:r w:rsidR="000C2F56">
        <w:rPr>
          <w:lang w:val="en-US"/>
        </w:rPr>
        <w:t>longitudinal</w:t>
      </w:r>
      <w:r w:rsidR="000C2F56" w:rsidRPr="00B254AA">
        <w:t xml:space="preserve"> </w:t>
      </w:r>
      <w:r w:rsidR="000C2F56">
        <w:rPr>
          <w:lang w:val="en-US"/>
        </w:rPr>
        <w:t>strain</w:t>
      </w:r>
      <w:r w:rsidR="000C2F56">
        <w:rPr>
          <w:lang w:val="ru-RU"/>
        </w:rPr>
        <w:t>)</w:t>
      </w:r>
      <w:r>
        <w:t xml:space="preserve"> в норме и при различных вариантах поражения миокарда. </w:t>
      </w:r>
    </w:p>
    <w:p w:rsidR="00181851" w:rsidRDefault="00181851" w:rsidP="00181851">
      <w:pPr>
        <w:pStyle w:val="a3"/>
        <w:spacing w:after="90"/>
        <w:jc w:val="both"/>
      </w:pP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6D9F1" w:themeFill="text2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3403"/>
        <w:gridCol w:w="3827"/>
      </w:tblGrid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jc w:val="both"/>
            </w:pPr>
            <w:r>
              <w:t>Нозология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0C2F56" w:rsidRPr="000C2F56" w:rsidRDefault="00181851" w:rsidP="000C2F56">
            <w:pPr>
              <w:pStyle w:val="a3"/>
              <w:spacing w:after="90"/>
              <w:jc w:val="both"/>
              <w:rPr>
                <w:lang w:val="ru-RU"/>
              </w:rPr>
            </w:pPr>
            <w:r>
              <w:t xml:space="preserve">Пороговое значение </w:t>
            </w:r>
            <w:r w:rsidR="000C2F56">
              <w:t>глобальн</w:t>
            </w:r>
            <w:r w:rsidR="000C2F56">
              <w:rPr>
                <w:lang w:val="ru-RU"/>
              </w:rPr>
              <w:t>ой</w:t>
            </w:r>
            <w:r w:rsidR="000C2F56">
              <w:t xml:space="preserve"> продольн</w:t>
            </w:r>
            <w:r w:rsidR="000C2F56">
              <w:rPr>
                <w:lang w:val="ru-RU"/>
              </w:rPr>
              <w:t>ой</w:t>
            </w:r>
            <w:r w:rsidR="000C2F56">
              <w:t xml:space="preserve"> деформаци</w:t>
            </w:r>
            <w:r w:rsidR="000C2F56">
              <w:rPr>
                <w:lang w:val="ru-RU"/>
              </w:rPr>
              <w:t>и</w:t>
            </w:r>
          </w:p>
          <w:p w:rsidR="00181851" w:rsidRDefault="00181851" w:rsidP="007C2D89">
            <w:pPr>
              <w:pStyle w:val="a5"/>
              <w:jc w:val="both"/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jc w:val="both"/>
            </w:pPr>
            <w:r>
              <w:t>Ссылка на литературный источник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jc w:val="both"/>
            </w:pPr>
            <w:r>
              <w:t>Норма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jc w:val="both"/>
            </w:pPr>
            <w:r>
              <w:t>(-15,9%)-(-22,1%)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="00181851">
              <w:t>2</w:t>
            </w:r>
            <w:r>
              <w:rPr>
                <w:lang w:val="en-US"/>
              </w:rPr>
              <w:t>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 xml:space="preserve">Гипертрофическая </w:t>
            </w:r>
            <w:proofErr w:type="spellStart"/>
            <w:r>
              <w:t>кардиомиопатия</w:t>
            </w:r>
            <w:proofErr w:type="spellEnd"/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-14,3%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[9]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>Аортальный стеноз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-15%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[9]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EB53FD" w:rsidP="007C2D89">
            <w:pPr>
              <w:pStyle w:val="a5"/>
              <w:jc w:val="both"/>
            </w:pPr>
            <w:proofErr w:type="spellStart"/>
            <w:r>
              <w:t>Низкоградиентный</w:t>
            </w:r>
            <w:proofErr w:type="spellEnd"/>
            <w:r>
              <w:t xml:space="preserve"> аорта</w:t>
            </w:r>
            <w:r w:rsidR="00880A1C">
              <w:t>льный стеноз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-9% в покое</w:t>
            </w:r>
          </w:p>
          <w:p w:rsidR="00181851" w:rsidRDefault="00181851" w:rsidP="007C2D89">
            <w:pPr>
              <w:pStyle w:val="a5"/>
              <w:snapToGrid w:val="0"/>
              <w:jc w:val="both"/>
            </w:pPr>
            <w:r>
              <w:t xml:space="preserve">-10% при тесте с </w:t>
            </w:r>
            <w:proofErr w:type="spellStart"/>
            <w:r>
              <w:t>добутамином</w:t>
            </w:r>
            <w:proofErr w:type="spellEnd"/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[3</w:t>
            </w:r>
            <w:r w:rsidR="00181851">
              <w:t>0</w:t>
            </w:r>
            <w:r>
              <w:rPr>
                <w:lang w:val="en-US"/>
              </w:rPr>
              <w:t>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>Аортальная недостаточность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-19,5%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[35]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>Митральная недостаточность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-18%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[32]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Pr="00AC75EC" w:rsidRDefault="00181851" w:rsidP="007C2D89">
            <w:pPr>
              <w:pStyle w:val="a5"/>
              <w:jc w:val="both"/>
            </w:pPr>
            <w:proofErr w:type="spellStart"/>
            <w:r w:rsidRPr="00AC75EC">
              <w:t>Кардиотоксичность</w:t>
            </w:r>
            <w:proofErr w:type="spellEnd"/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Pr="00AC75EC" w:rsidRDefault="00181851" w:rsidP="007C2D89">
            <w:pPr>
              <w:pStyle w:val="a5"/>
              <w:snapToGrid w:val="0"/>
              <w:jc w:val="both"/>
            </w:pPr>
            <w:r w:rsidRPr="00AC75EC">
              <w:t>(-10%)-(-15%)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[43]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jc w:val="both"/>
            </w:pPr>
            <w:r>
              <w:t>Амилоидоз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-11,78%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[37]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>Трансплантация сердца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-8,11%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[46]</w:t>
            </w:r>
          </w:p>
        </w:tc>
      </w:tr>
      <w:tr w:rsidR="00181851" w:rsidTr="000C2F56">
        <w:tc>
          <w:tcPr>
            <w:tcW w:w="2409" w:type="dxa"/>
            <w:shd w:val="clear" w:color="auto" w:fill="C6D9F1" w:themeFill="text2" w:themeFillTint="33"/>
          </w:tcPr>
          <w:p w:rsidR="00181851" w:rsidRDefault="00880A1C" w:rsidP="007C2D89">
            <w:pPr>
              <w:pStyle w:val="a5"/>
              <w:jc w:val="both"/>
            </w:pPr>
            <w:r>
              <w:t>Трансплантация сердца</w:t>
            </w:r>
          </w:p>
        </w:tc>
        <w:tc>
          <w:tcPr>
            <w:tcW w:w="3403" w:type="dxa"/>
            <w:shd w:val="clear" w:color="auto" w:fill="C6D9F1" w:themeFill="text2" w:themeFillTint="33"/>
          </w:tcPr>
          <w:p w:rsidR="00181851" w:rsidRDefault="00181851" w:rsidP="007C2D89">
            <w:pPr>
              <w:pStyle w:val="a5"/>
              <w:snapToGrid w:val="0"/>
              <w:jc w:val="both"/>
            </w:pPr>
            <w:r>
              <w:t>-14,8%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181851" w:rsidRPr="00B67E04" w:rsidRDefault="00B67E04" w:rsidP="007C2D89">
            <w:pPr>
              <w:pStyle w:val="a5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[47]</w:t>
            </w:r>
          </w:p>
        </w:tc>
      </w:tr>
    </w:tbl>
    <w:p w:rsidR="00181851" w:rsidRDefault="00181851" w:rsidP="00181851">
      <w:pPr>
        <w:pStyle w:val="a3"/>
        <w:spacing w:after="90"/>
        <w:jc w:val="both"/>
      </w:pPr>
    </w:p>
    <w:p w:rsidR="00395317" w:rsidRPr="00181851" w:rsidRDefault="00395317">
      <w:pPr>
        <w:rPr>
          <w:lang w:val="x-none"/>
        </w:rPr>
      </w:pPr>
      <w:bookmarkStart w:id="0" w:name="_GoBack"/>
      <w:bookmarkEnd w:id="0"/>
    </w:p>
    <w:sectPr w:rsidR="00395317" w:rsidRPr="00181851" w:rsidSect="0039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51"/>
    <w:rsid w:val="000C2F56"/>
    <w:rsid w:val="00181851"/>
    <w:rsid w:val="00395317"/>
    <w:rsid w:val="00880A1C"/>
    <w:rsid w:val="00B67E04"/>
    <w:rsid w:val="00EB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5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81851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181851"/>
    <w:rPr>
      <w:rFonts w:ascii="Times New Roman" w:eastAsia="Lucida Sans Unicode" w:hAnsi="Times New Roman" w:cs="Mangal"/>
      <w:kern w:val="1"/>
      <w:sz w:val="24"/>
      <w:szCs w:val="24"/>
      <w:lang w:val="x-none" w:eastAsia="zh-CN" w:bidi="hi-IN"/>
    </w:rPr>
  </w:style>
  <w:style w:type="paragraph" w:customStyle="1" w:styleId="a5">
    <w:name w:val="Содержимое таблицы"/>
    <w:basedOn w:val="a"/>
    <w:rsid w:val="0018185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5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81851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181851"/>
    <w:rPr>
      <w:rFonts w:ascii="Times New Roman" w:eastAsia="Lucida Sans Unicode" w:hAnsi="Times New Roman" w:cs="Mangal"/>
      <w:kern w:val="1"/>
      <w:sz w:val="24"/>
      <w:szCs w:val="24"/>
      <w:lang w:val="x-none" w:eastAsia="zh-CN" w:bidi="hi-IN"/>
    </w:rPr>
  </w:style>
  <w:style w:type="paragraph" w:customStyle="1" w:styleId="a5">
    <w:name w:val="Содержимое таблицы"/>
    <w:basedOn w:val="a"/>
    <w:rsid w:val="0018185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natashka</dc:creator>
  <cp:lastModifiedBy>ADMEN</cp:lastModifiedBy>
  <cp:revision>5</cp:revision>
  <dcterms:created xsi:type="dcterms:W3CDTF">2017-08-26T18:06:00Z</dcterms:created>
  <dcterms:modified xsi:type="dcterms:W3CDTF">2020-04-29T12:40:00Z</dcterms:modified>
</cp:coreProperties>
</file>