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0">
      <w:pPr>
        <w:widowControl w:val="0"/>
        <w:spacing w:line="480" w:lineRule="auto"/>
        <w:ind w:firstLine="720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465.0" w:type="dxa"/>
        <w:jc w:val="left"/>
        <w:tblInd w:w="140.0" w:type="pct"/>
        <w:tblBorders>
          <w:top w:color="9e9e9e" w:space="0" w:sz="8" w:val="single"/>
          <w:left w:color="9e9e9e" w:space="0" w:sz="8" w:val="single"/>
          <w:bottom w:color="9e9e9e" w:space="0" w:sz="8" w:val="single"/>
          <w:right w:color="9e9e9e" w:space="0" w:sz="8" w:val="single"/>
          <w:insideH w:color="9e9e9e" w:space="0" w:sz="8" w:val="single"/>
          <w:insideV w:color="9e9e9e" w:space="0" w:sz="8" w:val="single"/>
        </w:tblBorders>
        <w:tblLayout w:type="fixed"/>
        <w:tblLook w:val="0600"/>
      </w:tblPr>
      <w:tblGrid>
        <w:gridCol w:w="4140"/>
        <w:gridCol w:w="3420"/>
        <w:gridCol w:w="1905"/>
        <w:tblGridChange w:id="0">
          <w:tblGrid>
            <w:gridCol w:w="4140"/>
            <w:gridCol w:w="3420"/>
            <w:gridCol w:w="1905"/>
          </w:tblGrid>
        </w:tblGridChange>
      </w:tblGrid>
      <w:tr>
        <w:trPr>
          <w:trHeight w:val="220" w:hRule="atLeast"/>
        </w:trPr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01">
            <w:pPr>
              <w:widowControl w:val="0"/>
              <w:spacing w:line="240" w:lineRule="auto"/>
              <w:rPr>
                <w:rFonts w:ascii="Old Standard TT" w:cs="Old Standard TT" w:eastAsia="Old Standard TT" w:hAnsi="Old Standard T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widowControl w:val="0"/>
              <w:spacing w:line="240" w:lineRule="auto"/>
              <w:rPr>
                <w:rFonts w:ascii="Old Standard TT" w:cs="Old Standard TT" w:eastAsia="Old Standard TT" w:hAnsi="Old Standard TT"/>
                <w:sz w:val="20"/>
                <w:szCs w:val="20"/>
              </w:rPr>
            </w:pPr>
            <w:r w:rsidDel="00000000" w:rsidR="00000000" w:rsidRPr="00000000">
              <w:rPr>
                <w:rFonts w:ascii="Old Standard TT" w:cs="Old Standard TT" w:eastAsia="Old Standard TT" w:hAnsi="Old Standard TT"/>
                <w:sz w:val="20"/>
                <w:szCs w:val="20"/>
                <w:rtl w:val="0"/>
              </w:rPr>
              <w:t xml:space="preserve">Исходы хирургического лечения  структурной эпилепсии</w:t>
            </w:r>
          </w:p>
        </w:tc>
      </w:tr>
      <w:tr>
        <w:trPr>
          <w:trHeight w:val="100" w:hRule="atLeast"/>
        </w:trPr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rPr>
                <w:rFonts w:ascii="Old Standard TT" w:cs="Old Standard TT" w:eastAsia="Old Standard TT" w:hAnsi="Old Standard TT"/>
                <w:sz w:val="20"/>
                <w:szCs w:val="20"/>
              </w:rPr>
            </w:pPr>
            <w:r w:rsidDel="00000000" w:rsidR="00000000" w:rsidRPr="00000000">
              <w:rPr>
                <w:rFonts w:ascii="Old Standard TT" w:cs="Old Standard TT" w:eastAsia="Old Standard TT" w:hAnsi="Old Standard TT"/>
                <w:sz w:val="20"/>
                <w:szCs w:val="20"/>
                <w:rtl w:val="0"/>
              </w:rPr>
              <w:t xml:space="preserve">Динамика индекса ВЧО</w:t>
            </w:r>
          </w:p>
        </w:tc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rPr>
                <w:rFonts w:ascii="Old Standard TT" w:cs="Old Standard TT" w:eastAsia="Old Standard TT" w:hAnsi="Old Standard TT"/>
                <w:sz w:val="20"/>
                <w:szCs w:val="20"/>
              </w:rPr>
            </w:pPr>
            <w:r w:rsidDel="00000000" w:rsidR="00000000" w:rsidRPr="00000000">
              <w:rPr>
                <w:rFonts w:ascii="Old Standard TT" w:cs="Old Standard TT" w:eastAsia="Old Standard TT" w:hAnsi="Old Standard TT"/>
                <w:sz w:val="20"/>
                <w:szCs w:val="20"/>
                <w:rtl w:val="0"/>
              </w:rPr>
              <w:t xml:space="preserve">Отсутствие приступов</w:t>
            </w:r>
          </w:p>
        </w:tc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rPr>
                <w:rFonts w:ascii="Old Standard TT" w:cs="Old Standard TT" w:eastAsia="Old Standard TT" w:hAnsi="Old Standard TT"/>
                <w:sz w:val="20"/>
                <w:szCs w:val="20"/>
              </w:rPr>
            </w:pPr>
            <w:r w:rsidDel="00000000" w:rsidR="00000000" w:rsidRPr="00000000">
              <w:rPr>
                <w:rFonts w:ascii="Old Standard TT" w:cs="Old Standard TT" w:eastAsia="Old Standard TT" w:hAnsi="Old Standard TT"/>
                <w:sz w:val="20"/>
                <w:szCs w:val="20"/>
                <w:rtl w:val="0"/>
              </w:rPr>
              <w:t xml:space="preserve">Есть приступы</w:t>
            </w:r>
          </w:p>
        </w:tc>
      </w:tr>
      <w:tr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rPr>
                <w:rFonts w:ascii="Old Standard TT" w:cs="Old Standard TT" w:eastAsia="Old Standard TT" w:hAnsi="Old Standard TT"/>
                <w:sz w:val="20"/>
                <w:szCs w:val="20"/>
              </w:rPr>
            </w:pPr>
            <w:r w:rsidDel="00000000" w:rsidR="00000000" w:rsidRPr="00000000">
              <w:rPr>
                <w:rFonts w:ascii="Old Standard TT" w:cs="Old Standard TT" w:eastAsia="Old Standard TT" w:hAnsi="Old Standard TT"/>
                <w:sz w:val="20"/>
                <w:szCs w:val="20"/>
                <w:rtl w:val="0"/>
              </w:rPr>
              <w:t xml:space="preserve">Отсутствие изменения или увеличение индекса</w:t>
            </w:r>
          </w:p>
        </w:tc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>
                <w:rFonts w:ascii="Old Standard TT" w:cs="Old Standard TT" w:eastAsia="Old Standard TT" w:hAnsi="Old Standard TT"/>
                <w:sz w:val="20"/>
                <w:szCs w:val="20"/>
              </w:rPr>
            </w:pPr>
            <w:r w:rsidDel="00000000" w:rsidR="00000000" w:rsidRPr="00000000">
              <w:rPr>
                <w:rFonts w:ascii="Old Standard TT" w:cs="Old Standard TT" w:eastAsia="Old Standard TT" w:hAnsi="Old Standard TT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>
                <w:rFonts w:ascii="Old Standard TT" w:cs="Old Standard TT" w:eastAsia="Old Standard TT" w:hAnsi="Old Standard TT"/>
                <w:sz w:val="20"/>
                <w:szCs w:val="20"/>
              </w:rPr>
            </w:pPr>
            <w:r w:rsidDel="00000000" w:rsidR="00000000" w:rsidRPr="00000000">
              <w:rPr>
                <w:rFonts w:ascii="Old Standard TT" w:cs="Old Standard TT" w:eastAsia="Old Standard TT" w:hAnsi="Old Standard TT"/>
                <w:sz w:val="20"/>
                <w:szCs w:val="20"/>
                <w:rtl w:val="0"/>
              </w:rPr>
              <w:t xml:space="preserve">4</w:t>
            </w:r>
          </w:p>
        </w:tc>
      </w:tr>
      <w:tr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>
                <w:rFonts w:ascii="Old Standard TT" w:cs="Old Standard TT" w:eastAsia="Old Standard TT" w:hAnsi="Old Standard TT"/>
                <w:sz w:val="20"/>
                <w:szCs w:val="20"/>
              </w:rPr>
            </w:pPr>
            <w:r w:rsidDel="00000000" w:rsidR="00000000" w:rsidRPr="00000000">
              <w:rPr>
                <w:rFonts w:ascii="Old Standard TT" w:cs="Old Standard TT" w:eastAsia="Old Standard TT" w:hAnsi="Old Standard TT"/>
                <w:sz w:val="20"/>
                <w:szCs w:val="20"/>
                <w:rtl w:val="0"/>
              </w:rPr>
              <w:t xml:space="preserve">Снижение индекса</w:t>
            </w:r>
          </w:p>
        </w:tc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>
                <w:rFonts w:ascii="Old Standard TT" w:cs="Old Standard TT" w:eastAsia="Old Standard TT" w:hAnsi="Old Standard TT"/>
                <w:sz w:val="20"/>
                <w:szCs w:val="20"/>
              </w:rPr>
            </w:pPr>
            <w:r w:rsidDel="00000000" w:rsidR="00000000" w:rsidRPr="00000000">
              <w:rPr>
                <w:rFonts w:ascii="Old Standard TT" w:cs="Old Standard TT" w:eastAsia="Old Standard TT" w:hAnsi="Old Standard TT"/>
                <w:sz w:val="20"/>
                <w:szCs w:val="20"/>
                <w:rtl w:val="0"/>
              </w:rPr>
              <w:t xml:space="preserve">12</w:t>
            </w:r>
          </w:p>
        </w:tc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>
                <w:rFonts w:ascii="Old Standard TT" w:cs="Old Standard TT" w:eastAsia="Old Standard TT" w:hAnsi="Old Standard TT"/>
                <w:sz w:val="20"/>
                <w:szCs w:val="20"/>
              </w:rPr>
            </w:pPr>
            <w:r w:rsidDel="00000000" w:rsidR="00000000" w:rsidRPr="00000000">
              <w:rPr>
                <w:rFonts w:ascii="Old Standard TT" w:cs="Old Standard TT" w:eastAsia="Old Standard TT" w:hAnsi="Old Standard TT"/>
                <w:sz w:val="20"/>
                <w:szCs w:val="20"/>
                <w:rtl w:val="0"/>
              </w:rPr>
              <w:t xml:space="preserve">5</w:t>
            </w:r>
          </w:p>
        </w:tc>
      </w:tr>
    </w:tbl>
    <w:p w:rsidR="00000000" w:rsidDel="00000000" w:rsidP="00000000" w:rsidRDefault="00000000" w:rsidRPr="00000000" w14:paraId="0000000D">
      <w:pPr>
        <w:widowControl w:val="0"/>
        <w:spacing w:line="480" w:lineRule="auto"/>
        <w:ind w:firstLine="720"/>
        <w:jc w:val="both"/>
        <w:rPr/>
      </w:pPr>
      <w:r w:rsidDel="00000000" w:rsidR="00000000" w:rsidRPr="00000000">
        <w:rPr>
          <w:rtl w:val="0"/>
        </w:rPr>
      </w:r>
    </w:p>
    <w:sectPr>
      <w:pgSz w:h="16838" w:w="11906"/>
      <w:pgMar w:bottom="1137.6000000000001" w:top="1137.6000000000001" w:left="1699.1999999999998" w:right="561.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Old Standard T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pPr/>
    <w:rPr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pPr/>
      <w:rPr/>
      <w:tcPr/>
    </w:tblStylePr>
    <w:tblStylePr w:type="band1Vert">
      <w:pPr/>
      <w:rPr/>
      <w:tcPr/>
    </w:tblStylePr>
    <w:tblStylePr w:type="band2Horz">
      <w:pPr/>
      <w:rPr/>
      <w:tcPr/>
    </w:tblStylePr>
    <w:tblStylePr w:type="band2Vert">
      <w:pPr/>
      <w:rPr/>
      <w:tcPr/>
    </w:tblStylePr>
    <w:tblStylePr w:type="firstCol">
      <w:pPr/>
      <w:rPr/>
      <w:tcPr/>
    </w:tblStylePr>
    <w:tblStylePr w:type="firstRow">
      <w:pPr/>
      <w:rPr/>
      <w:tcPr/>
    </w:tblStylePr>
    <w:tblStylePr w:type="lastCol">
      <w:pPr/>
      <w:rPr/>
      <w:tcPr/>
    </w:tblStylePr>
    <w:tblStylePr w:type="lastRow">
      <w:pPr/>
      <w:rPr/>
      <w:tcPr/>
    </w:tblStylePr>
    <w:tblStylePr w:type="neCell">
      <w:pPr/>
      <w:rPr/>
      <w:tcPr/>
    </w:tblStylePr>
    <w:tblStylePr w:type="nwCell">
      <w:pPr/>
      <w:rPr/>
      <w:tcPr/>
    </w:tblStylePr>
    <w:tblStylePr w:type="seCell">
      <w:pPr/>
      <w:rPr/>
      <w:tcPr/>
    </w:tblStylePr>
    <w:tblStylePr w:type="swCell">
      <w:pPr/>
      <w:rPr/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ldStandardTT-regular.ttf"/><Relationship Id="rId2" Type="http://schemas.openxmlformats.org/officeDocument/2006/relationships/font" Target="fonts/OldStandardTT-bold.ttf"/><Relationship Id="rId3" Type="http://schemas.openxmlformats.org/officeDocument/2006/relationships/font" Target="fonts/OldStandardTT-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