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9E" w:rsidRPr="00C7449E" w:rsidRDefault="00C7449E" w:rsidP="00C7449E">
      <w:pPr>
        <w:jc w:val="right"/>
      </w:pPr>
      <w:r w:rsidRPr="00C7449E">
        <w:t>Главному редактору</w:t>
      </w:r>
    </w:p>
    <w:p w:rsidR="00C7449E" w:rsidRPr="00C7449E" w:rsidRDefault="00C7449E" w:rsidP="00C7449E">
      <w:pPr>
        <w:jc w:val="right"/>
      </w:pPr>
      <w:r w:rsidRPr="00C7449E">
        <w:t xml:space="preserve">Журнала </w:t>
      </w:r>
    </w:p>
    <w:p w:rsidR="00C7449E" w:rsidRPr="00C7449E" w:rsidRDefault="00C7449E" w:rsidP="00C7449E">
      <w:pPr>
        <w:jc w:val="right"/>
      </w:pPr>
      <w:r w:rsidRPr="00C7449E">
        <w:t>Трансляционная медицина</w:t>
      </w:r>
    </w:p>
    <w:p w:rsidR="00C7449E" w:rsidRPr="00C7449E" w:rsidRDefault="00C7449E" w:rsidP="00C7449E">
      <w:pPr>
        <w:jc w:val="right"/>
      </w:pPr>
      <w:r w:rsidRPr="00C7449E">
        <w:t xml:space="preserve">акад. РАН </w:t>
      </w:r>
      <w:proofErr w:type="spellStart"/>
      <w:r w:rsidRPr="00C7449E">
        <w:t>Шляхто</w:t>
      </w:r>
      <w:proofErr w:type="spellEnd"/>
      <w:r w:rsidRPr="00C7449E">
        <w:t xml:space="preserve"> Е. В.</w:t>
      </w:r>
    </w:p>
    <w:p w:rsidR="003D1890" w:rsidRDefault="00A73720" w:rsidP="00A73720">
      <w:pPr>
        <w:jc w:val="center"/>
        <w:rPr>
          <w:rFonts w:ascii="Times New Roman" w:hAnsi="Times New Roman" w:cs="Times New Roman"/>
          <w:sz w:val="28"/>
          <w:szCs w:val="28"/>
        </w:rPr>
      </w:pPr>
      <w:r w:rsidRPr="00A73720">
        <w:rPr>
          <w:rFonts w:ascii="Times New Roman" w:hAnsi="Times New Roman" w:cs="Times New Roman"/>
          <w:sz w:val="28"/>
          <w:szCs w:val="28"/>
        </w:rPr>
        <w:t>Направительное письмо</w:t>
      </w:r>
    </w:p>
    <w:p w:rsidR="00A73720" w:rsidRDefault="00A73720" w:rsidP="00A737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редакцию направляется рукопись «</w:t>
      </w:r>
      <w:r w:rsidRPr="00A73720">
        <w:rPr>
          <w:rFonts w:ascii="Times New Roman" w:hAnsi="Times New Roman" w:cs="Times New Roman"/>
          <w:sz w:val="24"/>
          <w:szCs w:val="24"/>
        </w:rPr>
        <w:t>ВЫБОР ПРЯМЫХ ОРАЛЬНЫХ АНТИКОАГУЛЯНТОВ С УЧЕТОМ ИНДИВИДУАЛЬНЫХ ОСОБЕННОСТЕЙ ПАЦИЕНТА</w:t>
      </w:r>
      <w:r>
        <w:rPr>
          <w:rFonts w:ascii="Times New Roman" w:hAnsi="Times New Roman" w:cs="Times New Roman"/>
          <w:sz w:val="24"/>
          <w:szCs w:val="24"/>
        </w:rPr>
        <w:t>», написанная Ефимовой О.И., Павловой Т.В.</w:t>
      </w:r>
    </w:p>
    <w:p w:rsidR="00811C70" w:rsidRDefault="00811C70" w:rsidP="00A737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3720" w:rsidRPr="00A73720" w:rsidRDefault="00A73720" w:rsidP="00A7372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73720">
        <w:rPr>
          <w:rFonts w:ascii="Times New Roman" w:hAnsi="Times New Roman" w:cs="Times New Roman"/>
          <w:sz w:val="24"/>
          <w:szCs w:val="24"/>
        </w:rPr>
        <w:t xml:space="preserve">Данная обзорная статья посвящена сравнению различных режимов </w:t>
      </w:r>
      <w:proofErr w:type="spellStart"/>
      <w:r w:rsidRPr="00A73720">
        <w:rPr>
          <w:rFonts w:ascii="Times New Roman" w:hAnsi="Times New Roman" w:cs="Times New Roman"/>
          <w:sz w:val="24"/>
          <w:szCs w:val="24"/>
        </w:rPr>
        <w:t>антикоагулянтной</w:t>
      </w:r>
      <w:proofErr w:type="spellEnd"/>
      <w:r w:rsidRPr="00A73720">
        <w:rPr>
          <w:rFonts w:ascii="Times New Roman" w:hAnsi="Times New Roman" w:cs="Times New Roman"/>
          <w:sz w:val="24"/>
          <w:szCs w:val="24"/>
        </w:rPr>
        <w:t xml:space="preserve"> терапии с учетом профиля риска и индивидуальных особенностей пациентов с фибрилляцией предсердий. В работе анализируется эффективность и безопасность прямых оральных антикоагулянтов в разных клинических ситуациях. Оцениваются модифицируемые и </w:t>
      </w:r>
      <w:proofErr w:type="spellStart"/>
      <w:r w:rsidRPr="00A73720">
        <w:rPr>
          <w:rFonts w:ascii="Times New Roman" w:hAnsi="Times New Roman" w:cs="Times New Roman"/>
          <w:sz w:val="24"/>
          <w:szCs w:val="24"/>
        </w:rPr>
        <w:t>немодифицируемые</w:t>
      </w:r>
      <w:proofErr w:type="spellEnd"/>
      <w:r w:rsidRPr="00A73720">
        <w:rPr>
          <w:rFonts w:ascii="Times New Roman" w:hAnsi="Times New Roman" w:cs="Times New Roman"/>
          <w:sz w:val="24"/>
          <w:szCs w:val="24"/>
        </w:rPr>
        <w:t xml:space="preserve"> факторы риска кровотечения, основанные на шкалах оценки риска геморрагических осложнений у пациентов, принимающих антикоагулянты. Приводится доказательная база по назначению </w:t>
      </w:r>
      <w:proofErr w:type="spellStart"/>
      <w:r w:rsidRPr="00A73720">
        <w:rPr>
          <w:rFonts w:ascii="Times New Roman" w:hAnsi="Times New Roman" w:cs="Times New Roman"/>
          <w:sz w:val="24"/>
          <w:szCs w:val="24"/>
        </w:rPr>
        <w:t>антикоагулянтной</w:t>
      </w:r>
      <w:proofErr w:type="spellEnd"/>
      <w:r w:rsidRPr="00A73720">
        <w:rPr>
          <w:rFonts w:ascii="Times New Roman" w:hAnsi="Times New Roman" w:cs="Times New Roman"/>
          <w:sz w:val="24"/>
          <w:szCs w:val="24"/>
        </w:rPr>
        <w:t xml:space="preserve"> терапии при наличии единственного эпизода фибрилляции предсердий. Рассматриваются режимы и сроки инициации </w:t>
      </w:r>
      <w:proofErr w:type="spellStart"/>
      <w:r w:rsidRPr="00A73720">
        <w:rPr>
          <w:rFonts w:ascii="Times New Roman" w:hAnsi="Times New Roman" w:cs="Times New Roman"/>
          <w:sz w:val="24"/>
          <w:szCs w:val="24"/>
        </w:rPr>
        <w:t>антикоагулянтной</w:t>
      </w:r>
      <w:proofErr w:type="spellEnd"/>
      <w:r w:rsidRPr="00A73720">
        <w:rPr>
          <w:rFonts w:ascii="Times New Roman" w:hAnsi="Times New Roman" w:cs="Times New Roman"/>
          <w:sz w:val="24"/>
          <w:szCs w:val="24"/>
        </w:rPr>
        <w:t xml:space="preserve"> терапии после </w:t>
      </w:r>
      <w:proofErr w:type="spellStart"/>
      <w:r w:rsidRPr="00A73720">
        <w:rPr>
          <w:rFonts w:ascii="Times New Roman" w:hAnsi="Times New Roman" w:cs="Times New Roman"/>
          <w:sz w:val="24"/>
          <w:szCs w:val="24"/>
        </w:rPr>
        <w:t>кардиоэмболического</w:t>
      </w:r>
      <w:proofErr w:type="spellEnd"/>
      <w:r w:rsidRPr="00A73720">
        <w:rPr>
          <w:rFonts w:ascii="Times New Roman" w:hAnsi="Times New Roman" w:cs="Times New Roman"/>
          <w:sz w:val="24"/>
          <w:szCs w:val="24"/>
        </w:rPr>
        <w:t xml:space="preserve"> инсульта или транзиторной ишемической атаки. Кроме того, уделяется большое внимание проблеме раннего назначения антикоагулянтов после перенесенного внутричерепного кровоизлияния. Для пациентов с высоким риском желудочно-кишечного кровотечения или нарушением функции почек проводится оценка оптимальной стратегии снижения тромбоэмболических осложнений. Отдельно рассматриваются подходы к назначению </w:t>
      </w:r>
      <w:proofErr w:type="spellStart"/>
      <w:r w:rsidRPr="00A73720">
        <w:rPr>
          <w:rFonts w:ascii="Times New Roman" w:hAnsi="Times New Roman" w:cs="Times New Roman"/>
          <w:sz w:val="24"/>
          <w:szCs w:val="24"/>
        </w:rPr>
        <w:t>антикоагулянтной</w:t>
      </w:r>
      <w:proofErr w:type="spellEnd"/>
      <w:r w:rsidRPr="00A73720">
        <w:rPr>
          <w:rFonts w:ascii="Times New Roman" w:hAnsi="Times New Roman" w:cs="Times New Roman"/>
          <w:sz w:val="24"/>
          <w:szCs w:val="24"/>
        </w:rPr>
        <w:t xml:space="preserve"> терапии у пациентов со стабильной ишемической болезнью сердца, в том числе после проведения коронарного </w:t>
      </w:r>
      <w:proofErr w:type="spellStart"/>
      <w:r w:rsidRPr="00A73720">
        <w:rPr>
          <w:rFonts w:ascii="Times New Roman" w:hAnsi="Times New Roman" w:cs="Times New Roman"/>
          <w:sz w:val="24"/>
          <w:szCs w:val="24"/>
        </w:rPr>
        <w:t>стентирования</w:t>
      </w:r>
      <w:proofErr w:type="spellEnd"/>
      <w:r w:rsidRPr="00A737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3720" w:rsidRPr="00A73720" w:rsidRDefault="00A73720" w:rsidP="00A73720">
      <w:pPr>
        <w:rPr>
          <w:rFonts w:ascii="Times New Roman" w:hAnsi="Times New Roman" w:cs="Times New Roman"/>
          <w:sz w:val="24"/>
          <w:szCs w:val="24"/>
        </w:rPr>
      </w:pPr>
    </w:p>
    <w:sectPr w:rsidR="00A73720" w:rsidRPr="00A7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49E"/>
    <w:rsid w:val="003D1890"/>
    <w:rsid w:val="00811C70"/>
    <w:rsid w:val="00A73720"/>
    <w:rsid w:val="00C7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2018-11-04T13:18:00Z</dcterms:created>
  <dcterms:modified xsi:type="dcterms:W3CDTF">2018-11-13T07:59:00Z</dcterms:modified>
</cp:coreProperties>
</file>